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A653F" w14:textId="77777777" w:rsidR="0001311F" w:rsidRDefault="0001311F">
      <w:pPr>
        <w:rPr>
          <w:lang w:val="en-GB"/>
        </w:rPr>
      </w:pPr>
    </w:p>
    <w:p w14:paraId="31DA6540" w14:textId="2A338F39" w:rsidR="0001311F" w:rsidRDefault="008E4639">
      <w:pPr>
        <w:pStyle w:val="Header"/>
        <w:jc w:val="both"/>
        <w:rPr>
          <w:rFonts w:ascii="Arial" w:hAnsi="Arial" w:cs="Arial"/>
          <w:b/>
          <w:color w:val="59595B"/>
          <w:sz w:val="28"/>
          <w:szCs w:val="28"/>
          <w:lang w:val="en-GB"/>
        </w:rPr>
      </w:pPr>
      <w:r>
        <w:rPr>
          <w:rFonts w:ascii="Arial" w:hAnsi="Arial" w:cs="Arial"/>
          <w:b/>
          <w:color w:val="59595B"/>
          <w:sz w:val="28"/>
          <w:szCs w:val="28"/>
          <w:lang w:val="en-GB"/>
        </w:rPr>
        <w:t>Tax Alert July 2026</w:t>
      </w:r>
    </w:p>
    <w:p w14:paraId="1CC51ED8" w14:textId="77777777" w:rsidR="00853CB9" w:rsidRDefault="00853CB9">
      <w:pPr>
        <w:pStyle w:val="Header"/>
        <w:jc w:val="both"/>
        <w:rPr>
          <w:lang w:val="en-GB"/>
        </w:rPr>
      </w:pPr>
    </w:p>
    <w:p w14:paraId="31DA6541" w14:textId="77777777" w:rsidR="0001311F" w:rsidRDefault="0001311F">
      <w:pPr>
        <w:pStyle w:val="Header"/>
        <w:jc w:val="both"/>
        <w:rPr>
          <w:rFonts w:ascii="Arial" w:hAnsi="Arial" w:cs="Arial"/>
          <w:b/>
          <w:color w:val="59595B"/>
          <w:sz w:val="28"/>
          <w:szCs w:val="28"/>
          <w:lang w:val="en-GB"/>
        </w:rPr>
      </w:pPr>
    </w:p>
    <w:p w14:paraId="4F880F17" w14:textId="77777777" w:rsidR="002160EC" w:rsidRPr="00853CB9" w:rsidRDefault="002160EC" w:rsidP="002160EC">
      <w:pPr>
        <w:widowControl w:val="0"/>
        <w:numPr>
          <w:ilvl w:val="0"/>
          <w:numId w:val="11"/>
        </w:numPr>
        <w:spacing w:after="0" w:line="240" w:lineRule="auto"/>
        <w:contextualSpacing/>
        <w:jc w:val="both"/>
        <w:rPr>
          <w:rFonts w:ascii="Arial" w:eastAsia="Calibri" w:hAnsi="Arial" w:cs="Arial"/>
          <w:b/>
          <w:bCs/>
          <w:color w:val="005233"/>
          <w:sz w:val="22"/>
          <w:szCs w:val="22"/>
          <w:u w:val="single"/>
          <w:lang w:val="en-GB"/>
          <w14:ligatures w14:val="none"/>
        </w:rPr>
      </w:pPr>
      <w:r w:rsidRPr="00853CB9">
        <w:rPr>
          <w:rFonts w:ascii="Arial" w:eastAsia="Calibri" w:hAnsi="Arial" w:cs="Arial"/>
          <w:b/>
          <w:bCs/>
          <w:color w:val="005233"/>
          <w:sz w:val="22"/>
          <w:szCs w:val="22"/>
          <w:u w:val="single"/>
          <w:lang w:val="en-GB"/>
          <w14:ligatures w14:val="none"/>
        </w:rPr>
        <w:t>New rules regarding transfer pricing documentation: ANAF Order no. 828/2026</w:t>
      </w:r>
    </w:p>
    <w:p w14:paraId="31B7C351" w14:textId="77777777" w:rsidR="002160EC" w:rsidRPr="003E09A6" w:rsidRDefault="002160EC" w:rsidP="002160EC">
      <w:pPr>
        <w:widowControl w:val="0"/>
        <w:spacing w:after="0" w:line="240" w:lineRule="auto"/>
        <w:ind w:left="389"/>
        <w:contextualSpacing/>
        <w:jc w:val="both"/>
        <w:rPr>
          <w:rFonts w:ascii="Arial" w:eastAsia="Calibri" w:hAnsi="Arial" w:cs="Arial"/>
          <w:b/>
          <w:bCs/>
          <w:sz w:val="20"/>
          <w:szCs w:val="20"/>
          <w:lang w:val="en-GB"/>
          <w14:ligatures w14:val="none"/>
        </w:rPr>
      </w:pPr>
    </w:p>
    <w:p w14:paraId="71CCCBB8" w14:textId="77777777" w:rsidR="002160EC" w:rsidRPr="003E09A6" w:rsidRDefault="002160EC" w:rsidP="002160EC">
      <w:pPr>
        <w:widowControl w:val="0"/>
        <w:spacing w:after="0" w:line="240" w:lineRule="auto"/>
        <w:ind w:left="29"/>
        <w:contextualSpacing/>
        <w:jc w:val="both"/>
        <w:rPr>
          <w:rFonts w:ascii="Arial" w:eastAsia="Calibri" w:hAnsi="Arial" w:cs="Arial"/>
          <w:sz w:val="20"/>
          <w:szCs w:val="20"/>
          <w:lang w:val="en-GB"/>
          <w14:ligatures w14:val="none"/>
        </w:rPr>
      </w:pPr>
      <w:r w:rsidRPr="003E09A6">
        <w:rPr>
          <w:rFonts w:ascii="Arial" w:eastAsia="Calibri" w:hAnsi="Arial" w:cs="Arial"/>
          <w:sz w:val="20"/>
          <w:szCs w:val="20"/>
          <w:lang w:val="en-GB"/>
          <w14:ligatures w14:val="none"/>
        </w:rPr>
        <w:t>Order no. 828/2026 entirely replaces Order no. 442/2016 and introduces the most extensive revision of the rules on transfer pricing documentation in recent years.</w:t>
      </w:r>
    </w:p>
    <w:p w14:paraId="58B0551E" w14:textId="77777777" w:rsidR="002160EC" w:rsidRPr="003E09A6" w:rsidRDefault="002160EC" w:rsidP="002160EC">
      <w:pPr>
        <w:widowControl w:val="0"/>
        <w:spacing w:after="0" w:line="240" w:lineRule="auto"/>
        <w:ind w:left="389"/>
        <w:contextualSpacing/>
        <w:jc w:val="both"/>
        <w:rPr>
          <w:rFonts w:ascii="Arial" w:eastAsia="Calibri" w:hAnsi="Arial" w:cs="Arial"/>
          <w:sz w:val="20"/>
          <w:szCs w:val="20"/>
          <w:lang w:val="en-GB"/>
          <w14:ligatures w14:val="none"/>
        </w:rPr>
      </w:pPr>
    </w:p>
    <w:p w14:paraId="7FBE42BA" w14:textId="77777777" w:rsidR="002160EC" w:rsidRDefault="002160EC" w:rsidP="002160EC">
      <w:pPr>
        <w:widowControl w:val="0"/>
        <w:spacing w:after="0" w:line="240" w:lineRule="auto"/>
        <w:contextualSpacing/>
        <w:jc w:val="both"/>
        <w:rPr>
          <w:rFonts w:ascii="Arial" w:eastAsia="Calibri" w:hAnsi="Arial" w:cs="Arial"/>
          <w:sz w:val="20"/>
          <w:szCs w:val="20"/>
          <w:lang w:val="en-GB"/>
          <w14:ligatures w14:val="none"/>
        </w:rPr>
      </w:pPr>
      <w:r w:rsidRPr="003E09A6">
        <w:rPr>
          <w:rFonts w:ascii="Arial" w:eastAsia="Calibri" w:hAnsi="Arial" w:cs="Arial"/>
          <w:sz w:val="20"/>
          <w:szCs w:val="20"/>
          <w:lang w:val="en-GB"/>
          <w14:ligatures w14:val="none"/>
        </w:rPr>
        <w:t>The new rules will apply to transactions carried out as of 1 January 2026 as well as to tax administration procedures initiated as of 1 January 2027.</w:t>
      </w:r>
    </w:p>
    <w:p w14:paraId="4112C9D0" w14:textId="77777777" w:rsidR="002160EC" w:rsidRPr="003E09A6" w:rsidRDefault="002160EC" w:rsidP="002160EC">
      <w:pPr>
        <w:widowControl w:val="0"/>
        <w:spacing w:after="0" w:line="240" w:lineRule="auto"/>
        <w:contextualSpacing/>
        <w:jc w:val="both"/>
        <w:rPr>
          <w:rFonts w:ascii="Arial" w:eastAsia="Calibri" w:hAnsi="Arial" w:cs="Arial"/>
          <w:sz w:val="20"/>
          <w:szCs w:val="20"/>
          <w:lang w:val="en-GB"/>
          <w14:ligatures w14:val="none"/>
        </w:rPr>
      </w:pPr>
    </w:p>
    <w:p w14:paraId="08D50E4D" w14:textId="77777777" w:rsidR="002160EC" w:rsidRPr="003E09A6" w:rsidRDefault="002160EC" w:rsidP="002160EC">
      <w:pPr>
        <w:widowControl w:val="0"/>
        <w:spacing w:after="0" w:line="240" w:lineRule="auto"/>
        <w:contextualSpacing/>
        <w:jc w:val="both"/>
        <w:rPr>
          <w:rFonts w:ascii="Arial" w:eastAsia="Calibri" w:hAnsi="Arial" w:cs="Arial"/>
          <w:sz w:val="20"/>
          <w:szCs w:val="20"/>
          <w:lang w:val="en-GB"/>
          <w14:ligatures w14:val="none"/>
        </w:rPr>
      </w:pPr>
      <w:r w:rsidRPr="003E09A6">
        <w:rPr>
          <w:rFonts w:ascii="Arial" w:eastAsia="Calibri" w:hAnsi="Arial" w:cs="Arial"/>
          <w:sz w:val="20"/>
          <w:szCs w:val="20"/>
          <w:lang w:val="en-GB"/>
          <w14:ligatures w14:val="none"/>
        </w:rPr>
        <w:t>We present the most impactful changes below:</w:t>
      </w:r>
    </w:p>
    <w:p w14:paraId="70925C5D" w14:textId="77777777" w:rsidR="002160EC" w:rsidRPr="003E09A6" w:rsidRDefault="002160EC" w:rsidP="002160EC">
      <w:pPr>
        <w:widowControl w:val="0"/>
        <w:spacing w:after="0" w:line="240" w:lineRule="auto"/>
        <w:ind w:left="389"/>
        <w:contextualSpacing/>
        <w:jc w:val="both"/>
        <w:rPr>
          <w:rFonts w:ascii="Arial" w:eastAsia="Calibri" w:hAnsi="Arial" w:cs="Arial"/>
          <w:b/>
          <w:bCs/>
          <w:sz w:val="20"/>
          <w:szCs w:val="20"/>
          <w:lang w:val="en-GB"/>
          <w14:ligatures w14:val="none"/>
        </w:rPr>
      </w:pPr>
    </w:p>
    <w:p w14:paraId="39EE450F" w14:textId="77777777" w:rsidR="002160EC" w:rsidRPr="00747546" w:rsidRDefault="002160EC" w:rsidP="002160EC">
      <w:pPr>
        <w:pStyle w:val="ListParagraph"/>
        <w:widowControl w:val="0"/>
        <w:numPr>
          <w:ilvl w:val="0"/>
          <w:numId w:val="14"/>
        </w:numPr>
        <w:spacing w:after="0" w:line="240" w:lineRule="auto"/>
        <w:jc w:val="both"/>
        <w:rPr>
          <w:rFonts w:ascii="Arial" w:eastAsia="Calibri" w:hAnsi="Arial" w:cs="Arial"/>
          <w:b/>
          <w:bCs/>
          <w:color w:val="76923C"/>
          <w:sz w:val="20"/>
          <w:szCs w:val="20"/>
          <w:lang w:val="en-GB"/>
          <w14:ligatures w14:val="none"/>
        </w:rPr>
      </w:pPr>
      <w:r w:rsidRPr="00747546">
        <w:rPr>
          <w:rFonts w:ascii="Arial" w:eastAsia="Calibri" w:hAnsi="Arial" w:cs="Arial"/>
          <w:b/>
          <w:bCs/>
          <w:color w:val="76923C"/>
          <w:sz w:val="20"/>
          <w:szCs w:val="20"/>
          <w:lang w:val="en-GB"/>
          <w14:ligatures w14:val="none"/>
        </w:rPr>
        <w:t>Thresholds and documentation requirements</w:t>
      </w:r>
    </w:p>
    <w:p w14:paraId="04DC323C" w14:textId="77777777" w:rsidR="002160EC" w:rsidRPr="003E09A6" w:rsidRDefault="002160EC" w:rsidP="002160EC">
      <w:pPr>
        <w:widowControl w:val="0"/>
        <w:spacing w:after="0" w:line="240" w:lineRule="auto"/>
        <w:contextualSpacing/>
        <w:jc w:val="both"/>
        <w:rPr>
          <w:rFonts w:ascii="Arial" w:eastAsia="Calibri" w:hAnsi="Arial" w:cs="Arial"/>
          <w:sz w:val="20"/>
          <w:szCs w:val="20"/>
          <w:lang w:val="en-GB"/>
          <w14:ligatures w14:val="none"/>
        </w:rPr>
      </w:pPr>
    </w:p>
    <w:p w14:paraId="0E7FDCD9" w14:textId="77777777" w:rsidR="002160EC" w:rsidRPr="003E09A6" w:rsidRDefault="002160EC" w:rsidP="002160EC">
      <w:pPr>
        <w:widowControl w:val="0"/>
        <w:spacing w:after="0" w:line="240" w:lineRule="auto"/>
        <w:contextualSpacing/>
        <w:jc w:val="both"/>
        <w:rPr>
          <w:rFonts w:ascii="Arial" w:eastAsia="Calibri" w:hAnsi="Arial" w:cs="Arial"/>
          <w:sz w:val="20"/>
          <w:szCs w:val="20"/>
          <w:lang w:val="en-GB"/>
          <w14:ligatures w14:val="none"/>
        </w:rPr>
      </w:pPr>
      <w:r w:rsidRPr="003E09A6">
        <w:rPr>
          <w:rFonts w:ascii="Arial" w:eastAsia="Calibri" w:hAnsi="Arial" w:cs="Arial"/>
          <w:sz w:val="20"/>
          <w:szCs w:val="20"/>
          <w:lang w:val="en-GB"/>
          <w14:ligatures w14:val="none"/>
        </w:rPr>
        <w:t>A significant change introduced by Order no. 828/2026 concerns the way the materiality thresholds are applied, as these will be analysed separately for each affiliated party and for each category of transaction. In addition, the Order revises the thresholds applicable to large taxpayers and small and medium-sized taxpayers, as follows:</w:t>
      </w:r>
    </w:p>
    <w:p w14:paraId="5A483B62" w14:textId="77777777" w:rsidR="002160EC" w:rsidRPr="003E09A6" w:rsidRDefault="002160EC" w:rsidP="002160EC">
      <w:pPr>
        <w:widowControl w:val="0"/>
        <w:spacing w:after="0" w:line="240" w:lineRule="auto"/>
        <w:contextualSpacing/>
        <w:jc w:val="both"/>
        <w:rPr>
          <w:rFonts w:ascii="Arial" w:eastAsia="Calibri" w:hAnsi="Arial" w:cs="Arial"/>
          <w:sz w:val="20"/>
          <w:szCs w:val="20"/>
          <w:lang w:val="en-GB"/>
          <w14:ligatures w14:val="none"/>
        </w:rPr>
      </w:pPr>
    </w:p>
    <w:p w14:paraId="201B148A" w14:textId="77777777" w:rsidR="002160EC" w:rsidRPr="003E09A6" w:rsidRDefault="002160EC" w:rsidP="002160EC">
      <w:pPr>
        <w:widowControl w:val="0"/>
        <w:spacing w:after="0" w:line="240" w:lineRule="auto"/>
        <w:contextualSpacing/>
        <w:jc w:val="both"/>
        <w:rPr>
          <w:rFonts w:ascii="Arial" w:eastAsia="Calibri" w:hAnsi="Arial" w:cs="Arial"/>
          <w:b/>
          <w:bCs/>
          <w:sz w:val="20"/>
          <w:szCs w:val="20"/>
          <w:lang w:val="en-GB"/>
          <w14:ligatures w14:val="none"/>
        </w:rPr>
      </w:pPr>
      <w:r w:rsidRPr="003E09A6">
        <w:rPr>
          <w:rFonts w:ascii="Arial" w:eastAsia="Calibri" w:hAnsi="Arial" w:cs="Arial"/>
          <w:b/>
          <w:bCs/>
          <w:sz w:val="20"/>
          <w:szCs w:val="20"/>
          <w:lang w:val="en-GB"/>
          <w14:ligatures w14:val="none"/>
        </w:rPr>
        <w:t>Large taxpayers</w:t>
      </w:r>
    </w:p>
    <w:p w14:paraId="49EFC83A" w14:textId="77777777" w:rsidR="002160EC" w:rsidRPr="003E09A6" w:rsidRDefault="002160EC" w:rsidP="002160EC">
      <w:pPr>
        <w:widowControl w:val="0"/>
        <w:spacing w:after="0" w:line="240" w:lineRule="auto"/>
        <w:contextualSpacing/>
        <w:jc w:val="both"/>
        <w:rPr>
          <w:rFonts w:ascii="Arial" w:eastAsia="Calibri" w:hAnsi="Arial" w:cs="Arial"/>
          <w:b/>
          <w:bCs/>
          <w:sz w:val="20"/>
          <w:szCs w:val="20"/>
          <w:lang w:val="en-GB"/>
          <w14:ligatures w14:val="none"/>
        </w:rPr>
      </w:pPr>
    </w:p>
    <w:p w14:paraId="0EE12799" w14:textId="77777777" w:rsidR="002160EC" w:rsidRPr="003E09A6" w:rsidRDefault="002160EC" w:rsidP="002160EC">
      <w:pPr>
        <w:widowControl w:val="0"/>
        <w:numPr>
          <w:ilvl w:val="0"/>
          <w:numId w:val="13"/>
        </w:numPr>
        <w:spacing w:after="0" w:line="240" w:lineRule="auto"/>
        <w:contextualSpacing/>
        <w:jc w:val="both"/>
        <w:rPr>
          <w:rFonts w:ascii="Arial" w:eastAsia="Times New Roman" w:hAnsi="Arial" w:cs="Arial"/>
          <w:b/>
          <w:bCs/>
          <w:sz w:val="20"/>
          <w:szCs w:val="20"/>
          <w:lang w:val="en-GB"/>
          <w14:ligatures w14:val="none"/>
        </w:rPr>
      </w:pPr>
      <w:r w:rsidRPr="003E09A6">
        <w:rPr>
          <w:rFonts w:ascii="Arial" w:eastAsia="Times New Roman" w:hAnsi="Arial" w:cs="Arial"/>
          <w:b/>
          <w:bCs/>
          <w:sz w:val="20"/>
          <w:szCs w:val="20"/>
          <w:lang w:val="en-GB"/>
          <w14:ligatures w14:val="none"/>
        </w:rPr>
        <w:t xml:space="preserve">EUR 100,000 </w:t>
      </w:r>
      <w:r w:rsidRPr="003E09A6">
        <w:rPr>
          <w:rFonts w:ascii="Arial" w:eastAsia="Times New Roman" w:hAnsi="Arial" w:cs="Arial"/>
          <w:sz w:val="20"/>
          <w:szCs w:val="20"/>
          <w:lang w:val="en-GB"/>
          <w14:ligatures w14:val="none"/>
        </w:rPr>
        <w:t>for service transactions (as compared to EUR 250,000 under the previous regulation)</w:t>
      </w:r>
    </w:p>
    <w:p w14:paraId="6EB8D9D8" w14:textId="77777777" w:rsidR="002160EC" w:rsidRPr="003E09A6" w:rsidRDefault="002160EC" w:rsidP="002160EC">
      <w:pPr>
        <w:widowControl w:val="0"/>
        <w:numPr>
          <w:ilvl w:val="0"/>
          <w:numId w:val="13"/>
        </w:numPr>
        <w:spacing w:after="0" w:line="240" w:lineRule="auto"/>
        <w:contextualSpacing/>
        <w:jc w:val="both"/>
        <w:rPr>
          <w:rFonts w:ascii="Arial" w:eastAsia="Times New Roman" w:hAnsi="Arial" w:cs="Arial"/>
          <w:b/>
          <w:bCs/>
          <w:sz w:val="20"/>
          <w:szCs w:val="20"/>
          <w:lang w:val="en-GB"/>
          <w14:ligatures w14:val="none"/>
        </w:rPr>
      </w:pPr>
      <w:r w:rsidRPr="003E09A6">
        <w:rPr>
          <w:rFonts w:ascii="Arial" w:eastAsia="Times New Roman" w:hAnsi="Arial" w:cs="Arial"/>
          <w:b/>
          <w:bCs/>
          <w:sz w:val="20"/>
          <w:szCs w:val="20"/>
          <w:lang w:val="en-GB"/>
          <w14:ligatures w14:val="none"/>
        </w:rPr>
        <w:t xml:space="preserve">EUR 200,000 </w:t>
      </w:r>
      <w:r w:rsidRPr="003E09A6">
        <w:rPr>
          <w:rFonts w:ascii="Arial" w:eastAsia="Times New Roman" w:hAnsi="Arial" w:cs="Arial"/>
          <w:sz w:val="20"/>
          <w:szCs w:val="20"/>
          <w:lang w:val="en-GB"/>
          <w14:ligatures w14:val="none"/>
        </w:rPr>
        <w:t>for financing transactions generating interest income or interest expenses</w:t>
      </w:r>
    </w:p>
    <w:p w14:paraId="448A1553" w14:textId="77777777" w:rsidR="002160EC" w:rsidRPr="003E09A6" w:rsidRDefault="002160EC" w:rsidP="002160EC">
      <w:pPr>
        <w:widowControl w:val="0"/>
        <w:numPr>
          <w:ilvl w:val="0"/>
          <w:numId w:val="13"/>
        </w:numPr>
        <w:spacing w:after="0" w:line="240" w:lineRule="auto"/>
        <w:contextualSpacing/>
        <w:jc w:val="both"/>
        <w:rPr>
          <w:rFonts w:ascii="Arial" w:eastAsia="Times New Roman" w:hAnsi="Arial" w:cs="Arial"/>
          <w:b/>
          <w:bCs/>
          <w:sz w:val="20"/>
          <w:szCs w:val="20"/>
          <w:lang w:val="en-GB"/>
          <w14:ligatures w14:val="none"/>
        </w:rPr>
      </w:pPr>
      <w:r w:rsidRPr="003E09A6">
        <w:rPr>
          <w:rFonts w:ascii="Arial" w:eastAsia="Times New Roman" w:hAnsi="Arial" w:cs="Arial"/>
          <w:b/>
          <w:bCs/>
          <w:sz w:val="20"/>
          <w:szCs w:val="20"/>
          <w:lang w:val="en-GB"/>
          <w14:ligatures w14:val="none"/>
        </w:rPr>
        <w:t xml:space="preserve">EUR 250,000 </w:t>
      </w:r>
      <w:r w:rsidRPr="003E09A6">
        <w:rPr>
          <w:rFonts w:ascii="Arial" w:eastAsia="Times New Roman" w:hAnsi="Arial" w:cs="Arial"/>
          <w:sz w:val="20"/>
          <w:szCs w:val="20"/>
          <w:lang w:val="en-GB"/>
          <w14:ligatures w14:val="none"/>
        </w:rPr>
        <w:t>for transactions involving intangible assets, including royalties</w:t>
      </w:r>
    </w:p>
    <w:p w14:paraId="0060F3B0" w14:textId="77777777" w:rsidR="002160EC" w:rsidRPr="003E09A6" w:rsidRDefault="002160EC" w:rsidP="002160EC">
      <w:pPr>
        <w:widowControl w:val="0"/>
        <w:numPr>
          <w:ilvl w:val="0"/>
          <w:numId w:val="13"/>
        </w:numPr>
        <w:spacing w:after="0" w:line="240" w:lineRule="auto"/>
        <w:contextualSpacing/>
        <w:jc w:val="both"/>
        <w:rPr>
          <w:rFonts w:ascii="Arial" w:eastAsia="Times New Roman" w:hAnsi="Arial" w:cs="Arial"/>
          <w:b/>
          <w:bCs/>
          <w:sz w:val="20"/>
          <w:szCs w:val="20"/>
          <w:lang w:val="en-GB"/>
          <w14:ligatures w14:val="none"/>
        </w:rPr>
      </w:pPr>
      <w:r w:rsidRPr="003E09A6">
        <w:rPr>
          <w:rFonts w:ascii="Arial" w:eastAsia="Times New Roman" w:hAnsi="Arial" w:cs="Arial"/>
          <w:b/>
          <w:bCs/>
          <w:sz w:val="20"/>
          <w:szCs w:val="20"/>
          <w:lang w:val="en-GB"/>
          <w14:ligatures w14:val="none"/>
        </w:rPr>
        <w:t xml:space="preserve">EUR 350,000 </w:t>
      </w:r>
      <w:r w:rsidRPr="003E09A6">
        <w:rPr>
          <w:rFonts w:ascii="Arial" w:eastAsia="Times New Roman" w:hAnsi="Arial" w:cs="Arial"/>
          <w:sz w:val="20"/>
          <w:szCs w:val="20"/>
          <w:lang w:val="en-GB"/>
          <w14:ligatures w14:val="none"/>
        </w:rPr>
        <w:t>for transactions involving tangible assets (threshold maintained)</w:t>
      </w:r>
    </w:p>
    <w:p w14:paraId="227154F2" w14:textId="77777777" w:rsidR="002160EC" w:rsidRPr="003E09A6" w:rsidRDefault="002160EC" w:rsidP="002160EC">
      <w:pPr>
        <w:keepNext/>
        <w:widowControl w:val="0"/>
        <w:spacing w:after="0" w:line="240" w:lineRule="auto"/>
        <w:contextualSpacing/>
        <w:jc w:val="both"/>
        <w:rPr>
          <w:rFonts w:ascii="Arial" w:eastAsia="Calibri" w:hAnsi="Arial" w:cs="Arial"/>
          <w:b/>
          <w:bCs/>
          <w:sz w:val="20"/>
          <w:szCs w:val="20"/>
          <w:lang w:val="en-GB"/>
          <w14:ligatures w14:val="none"/>
        </w:rPr>
      </w:pPr>
    </w:p>
    <w:p w14:paraId="70D48F9F" w14:textId="77777777" w:rsidR="002160EC" w:rsidRPr="003E09A6" w:rsidRDefault="002160EC" w:rsidP="002160EC">
      <w:pPr>
        <w:keepNext/>
        <w:widowControl w:val="0"/>
        <w:spacing w:after="0" w:line="240" w:lineRule="auto"/>
        <w:contextualSpacing/>
        <w:jc w:val="both"/>
        <w:rPr>
          <w:rFonts w:ascii="Arial" w:eastAsia="Calibri" w:hAnsi="Arial" w:cs="Arial"/>
          <w:b/>
          <w:bCs/>
          <w:sz w:val="20"/>
          <w:szCs w:val="20"/>
          <w:lang w:val="en-GB"/>
          <w14:ligatures w14:val="none"/>
        </w:rPr>
      </w:pPr>
      <w:r w:rsidRPr="003E09A6">
        <w:rPr>
          <w:rFonts w:ascii="Arial" w:eastAsia="Calibri" w:hAnsi="Arial" w:cs="Arial"/>
          <w:b/>
          <w:bCs/>
          <w:sz w:val="20"/>
          <w:szCs w:val="20"/>
          <w:lang w:val="en-GB"/>
          <w14:ligatures w14:val="none"/>
        </w:rPr>
        <w:t>Small and medium-sized taxpayers</w:t>
      </w:r>
    </w:p>
    <w:p w14:paraId="2596A878" w14:textId="77777777" w:rsidR="002160EC" w:rsidRPr="003E09A6" w:rsidRDefault="002160EC" w:rsidP="002160EC">
      <w:pPr>
        <w:keepNext/>
        <w:widowControl w:val="0"/>
        <w:spacing w:after="0" w:line="240" w:lineRule="auto"/>
        <w:contextualSpacing/>
        <w:jc w:val="both"/>
        <w:rPr>
          <w:rFonts w:ascii="Arial" w:eastAsia="Calibri" w:hAnsi="Arial" w:cs="Arial"/>
          <w:b/>
          <w:bCs/>
          <w:sz w:val="20"/>
          <w:szCs w:val="20"/>
          <w:lang w:val="en-GB"/>
          <w14:ligatures w14:val="none"/>
        </w:rPr>
      </w:pPr>
    </w:p>
    <w:p w14:paraId="1FC9D80A" w14:textId="77777777" w:rsidR="002160EC" w:rsidRPr="003E09A6" w:rsidRDefault="002160EC" w:rsidP="002160EC">
      <w:pPr>
        <w:widowControl w:val="0"/>
        <w:numPr>
          <w:ilvl w:val="0"/>
          <w:numId w:val="12"/>
        </w:numPr>
        <w:spacing w:after="0" w:line="240" w:lineRule="auto"/>
        <w:contextualSpacing/>
        <w:jc w:val="both"/>
        <w:rPr>
          <w:rFonts w:ascii="Arial" w:eastAsia="Times New Roman" w:hAnsi="Arial" w:cs="Arial"/>
          <w:b/>
          <w:bCs/>
          <w:sz w:val="20"/>
          <w:szCs w:val="20"/>
          <w:lang w:val="en-GB"/>
          <w14:ligatures w14:val="none"/>
        </w:rPr>
      </w:pPr>
      <w:r w:rsidRPr="003E09A6">
        <w:rPr>
          <w:rFonts w:ascii="Arial" w:eastAsia="Times New Roman" w:hAnsi="Arial" w:cs="Arial"/>
          <w:b/>
          <w:bCs/>
          <w:sz w:val="20"/>
          <w:szCs w:val="20"/>
          <w:lang w:val="en-GB"/>
          <w14:ligatures w14:val="none"/>
        </w:rPr>
        <w:t xml:space="preserve">EUR 50,000 </w:t>
      </w:r>
      <w:r w:rsidRPr="003E09A6">
        <w:rPr>
          <w:rFonts w:ascii="Arial" w:eastAsia="Times New Roman" w:hAnsi="Arial" w:cs="Arial"/>
          <w:sz w:val="20"/>
          <w:szCs w:val="20"/>
          <w:lang w:val="en-GB"/>
          <w14:ligatures w14:val="none"/>
        </w:rPr>
        <w:t>for service transactions (threshold maintained)</w:t>
      </w:r>
    </w:p>
    <w:p w14:paraId="1D71C64F" w14:textId="77777777" w:rsidR="002160EC" w:rsidRPr="003E09A6" w:rsidRDefault="002160EC" w:rsidP="002160EC">
      <w:pPr>
        <w:widowControl w:val="0"/>
        <w:numPr>
          <w:ilvl w:val="0"/>
          <w:numId w:val="12"/>
        </w:numPr>
        <w:spacing w:after="0" w:line="240" w:lineRule="auto"/>
        <w:contextualSpacing/>
        <w:jc w:val="both"/>
        <w:rPr>
          <w:rFonts w:ascii="Arial" w:eastAsia="Times New Roman" w:hAnsi="Arial" w:cs="Arial"/>
          <w:b/>
          <w:bCs/>
          <w:sz w:val="20"/>
          <w:szCs w:val="20"/>
          <w:lang w:val="en-GB"/>
          <w14:ligatures w14:val="none"/>
        </w:rPr>
      </w:pPr>
      <w:r w:rsidRPr="003E09A6">
        <w:rPr>
          <w:rFonts w:ascii="Arial" w:eastAsia="Times New Roman" w:hAnsi="Arial" w:cs="Arial"/>
          <w:b/>
          <w:bCs/>
          <w:sz w:val="20"/>
          <w:szCs w:val="20"/>
          <w:lang w:val="en-GB"/>
          <w14:ligatures w14:val="none"/>
        </w:rPr>
        <w:t xml:space="preserve">EUR 100,000 </w:t>
      </w:r>
      <w:r w:rsidRPr="003E09A6">
        <w:rPr>
          <w:rFonts w:ascii="Arial" w:eastAsia="Times New Roman" w:hAnsi="Arial" w:cs="Arial"/>
          <w:sz w:val="20"/>
          <w:szCs w:val="20"/>
          <w:lang w:val="en-GB"/>
          <w14:ligatures w14:val="none"/>
        </w:rPr>
        <w:t>for financing transactions generating interest income or interest expenses (as compared to EUR 50,000 previously)</w:t>
      </w:r>
    </w:p>
    <w:p w14:paraId="30D193E6" w14:textId="77777777" w:rsidR="002160EC" w:rsidRPr="003E09A6" w:rsidRDefault="002160EC" w:rsidP="002160EC">
      <w:pPr>
        <w:widowControl w:val="0"/>
        <w:numPr>
          <w:ilvl w:val="0"/>
          <w:numId w:val="12"/>
        </w:numPr>
        <w:spacing w:after="0" w:line="240" w:lineRule="auto"/>
        <w:contextualSpacing/>
        <w:jc w:val="both"/>
        <w:rPr>
          <w:rFonts w:ascii="Arial" w:eastAsia="Times New Roman" w:hAnsi="Arial" w:cs="Arial"/>
          <w:b/>
          <w:bCs/>
          <w:sz w:val="20"/>
          <w:szCs w:val="20"/>
          <w:lang w:val="en-GB"/>
          <w14:ligatures w14:val="none"/>
        </w:rPr>
      </w:pPr>
      <w:r w:rsidRPr="003E09A6">
        <w:rPr>
          <w:rFonts w:ascii="Arial" w:eastAsia="Times New Roman" w:hAnsi="Arial" w:cs="Arial"/>
          <w:b/>
          <w:bCs/>
          <w:sz w:val="20"/>
          <w:szCs w:val="20"/>
          <w:lang w:val="en-GB"/>
          <w14:ligatures w14:val="none"/>
        </w:rPr>
        <w:t xml:space="preserve">EUR 150,000 </w:t>
      </w:r>
      <w:r w:rsidRPr="003E09A6">
        <w:rPr>
          <w:rFonts w:ascii="Arial" w:eastAsia="Times New Roman" w:hAnsi="Arial" w:cs="Arial"/>
          <w:sz w:val="20"/>
          <w:szCs w:val="20"/>
          <w:lang w:val="en-GB"/>
          <w14:ligatures w14:val="none"/>
        </w:rPr>
        <w:t>for transactions involving intangible assets, including royalties</w:t>
      </w:r>
    </w:p>
    <w:p w14:paraId="7323B82B" w14:textId="77777777" w:rsidR="002160EC" w:rsidRPr="003E09A6" w:rsidRDefault="002160EC" w:rsidP="002160EC">
      <w:pPr>
        <w:widowControl w:val="0"/>
        <w:numPr>
          <w:ilvl w:val="0"/>
          <w:numId w:val="12"/>
        </w:numPr>
        <w:spacing w:after="0" w:line="240" w:lineRule="auto"/>
        <w:contextualSpacing/>
        <w:jc w:val="both"/>
        <w:rPr>
          <w:rFonts w:ascii="Arial" w:eastAsia="Times New Roman" w:hAnsi="Arial" w:cs="Arial"/>
          <w:b/>
          <w:bCs/>
          <w:sz w:val="20"/>
          <w:szCs w:val="20"/>
          <w:lang w:val="en-GB"/>
          <w14:ligatures w14:val="none"/>
        </w:rPr>
      </w:pPr>
      <w:r w:rsidRPr="003E09A6">
        <w:rPr>
          <w:rFonts w:ascii="Arial" w:eastAsia="Times New Roman" w:hAnsi="Arial" w:cs="Arial"/>
          <w:b/>
          <w:bCs/>
          <w:sz w:val="20"/>
          <w:szCs w:val="20"/>
          <w:lang w:val="en-GB"/>
          <w14:ligatures w14:val="none"/>
        </w:rPr>
        <w:t xml:space="preserve">EUR 200,000 </w:t>
      </w:r>
      <w:r w:rsidRPr="003E09A6">
        <w:rPr>
          <w:rFonts w:ascii="Arial" w:eastAsia="Times New Roman" w:hAnsi="Arial" w:cs="Arial"/>
          <w:sz w:val="20"/>
          <w:szCs w:val="20"/>
          <w:lang w:val="en-GB"/>
          <w14:ligatures w14:val="none"/>
        </w:rPr>
        <w:t>for transactions involving tangible assets</w:t>
      </w:r>
    </w:p>
    <w:p w14:paraId="3C5D2CC0" w14:textId="77777777" w:rsidR="002160EC" w:rsidRPr="003E09A6" w:rsidRDefault="002160EC" w:rsidP="002160EC">
      <w:pPr>
        <w:widowControl w:val="0"/>
        <w:spacing w:after="0"/>
        <w:contextualSpacing/>
        <w:jc w:val="both"/>
        <w:rPr>
          <w:rFonts w:ascii="Arial" w:eastAsia="Calibri" w:hAnsi="Arial" w:cs="Arial"/>
          <w:sz w:val="20"/>
          <w:szCs w:val="20"/>
          <w:lang w:val="en-GB"/>
          <w14:ligatures w14:val="none"/>
        </w:rPr>
      </w:pPr>
    </w:p>
    <w:p w14:paraId="5D8AA793" w14:textId="77777777" w:rsidR="002160EC" w:rsidRPr="00747546" w:rsidRDefault="002160EC" w:rsidP="002160EC">
      <w:pPr>
        <w:pStyle w:val="ListParagraph"/>
        <w:widowControl w:val="0"/>
        <w:numPr>
          <w:ilvl w:val="0"/>
          <w:numId w:val="14"/>
        </w:numPr>
        <w:spacing w:after="0" w:line="240" w:lineRule="auto"/>
        <w:jc w:val="both"/>
        <w:rPr>
          <w:rFonts w:ascii="Arial" w:eastAsia="Calibri" w:hAnsi="Arial" w:cs="Arial"/>
          <w:b/>
          <w:bCs/>
          <w:color w:val="76923C"/>
          <w:sz w:val="20"/>
          <w:szCs w:val="20"/>
          <w:lang w:val="en-GB"/>
          <w14:ligatures w14:val="none"/>
        </w:rPr>
      </w:pPr>
      <w:r w:rsidRPr="00747546">
        <w:rPr>
          <w:rFonts w:ascii="Arial" w:eastAsia="Calibri" w:hAnsi="Arial" w:cs="Arial"/>
          <w:b/>
          <w:bCs/>
          <w:color w:val="76923C"/>
          <w:sz w:val="20"/>
          <w:szCs w:val="20"/>
          <w:lang w:val="en-GB"/>
          <w14:ligatures w14:val="none"/>
        </w:rPr>
        <w:t>Annual submission of the transfer pricing file via the SPV platform</w:t>
      </w:r>
    </w:p>
    <w:p w14:paraId="2B4BACD6" w14:textId="77777777" w:rsidR="002160EC" w:rsidRPr="003E09A6" w:rsidRDefault="002160EC" w:rsidP="002160EC">
      <w:pPr>
        <w:widowControl w:val="0"/>
        <w:spacing w:after="0" w:line="240" w:lineRule="auto"/>
        <w:contextualSpacing/>
        <w:jc w:val="both"/>
        <w:rPr>
          <w:rFonts w:ascii="Arial" w:eastAsia="Calibri" w:hAnsi="Arial" w:cs="Arial"/>
          <w:sz w:val="20"/>
          <w:szCs w:val="20"/>
          <w:lang w:val="en-GB"/>
          <w14:ligatures w14:val="none"/>
        </w:rPr>
      </w:pPr>
    </w:p>
    <w:p w14:paraId="11325FF1" w14:textId="77777777" w:rsidR="002160EC" w:rsidRPr="003E09A6" w:rsidRDefault="002160EC" w:rsidP="002160EC">
      <w:pPr>
        <w:widowControl w:val="0"/>
        <w:spacing w:after="0" w:line="240" w:lineRule="auto"/>
        <w:contextualSpacing/>
        <w:jc w:val="both"/>
        <w:rPr>
          <w:rFonts w:ascii="Arial" w:eastAsia="Calibri" w:hAnsi="Arial" w:cs="Arial"/>
          <w:sz w:val="20"/>
          <w:szCs w:val="20"/>
          <w:lang w:val="en-GB"/>
          <w14:ligatures w14:val="none"/>
        </w:rPr>
      </w:pPr>
      <w:r w:rsidRPr="003E09A6">
        <w:rPr>
          <w:rFonts w:ascii="Arial" w:eastAsia="Calibri" w:hAnsi="Arial" w:cs="Arial"/>
          <w:sz w:val="20"/>
          <w:szCs w:val="20"/>
          <w:lang w:val="en-GB"/>
          <w14:ligatures w14:val="none"/>
        </w:rPr>
        <w:t>For large taxpayers whose transactions with affiliated parties exceed the materiality thresholds provided for by Order no. 828/2026, a new obligation is introduced requiring annual submission of the transfer pricing file electronically via the SPV (Virtual Private Space) platform within 30 working days of the legal deadline for the submission of annual corporate income tax return. This means that for large taxpayers, not only must the transfer pricing file be prepared annually, but there is now a new obligation to proactively submit the file via the SPV platform, without waiting for a request from the tax authority.</w:t>
      </w:r>
    </w:p>
    <w:p w14:paraId="54975DFE" w14:textId="77777777" w:rsidR="002160EC" w:rsidRPr="003E09A6" w:rsidRDefault="002160EC" w:rsidP="002160EC">
      <w:pPr>
        <w:widowControl w:val="0"/>
        <w:spacing w:after="0" w:line="240" w:lineRule="auto"/>
        <w:contextualSpacing/>
        <w:jc w:val="both"/>
        <w:rPr>
          <w:rFonts w:ascii="Arial" w:eastAsia="Calibri" w:hAnsi="Arial" w:cs="Arial"/>
          <w:sz w:val="20"/>
          <w:szCs w:val="20"/>
          <w:lang w:val="en-GB"/>
          <w14:ligatures w14:val="none"/>
        </w:rPr>
      </w:pPr>
    </w:p>
    <w:p w14:paraId="4DFDB104" w14:textId="77777777" w:rsidR="002160EC" w:rsidRPr="003E09A6" w:rsidRDefault="002160EC" w:rsidP="002160EC">
      <w:pPr>
        <w:widowControl w:val="0"/>
        <w:spacing w:after="0" w:line="240" w:lineRule="auto"/>
        <w:contextualSpacing/>
        <w:jc w:val="both"/>
        <w:rPr>
          <w:rFonts w:ascii="Arial" w:eastAsia="Calibri" w:hAnsi="Arial" w:cs="Arial"/>
          <w:sz w:val="20"/>
          <w:szCs w:val="20"/>
          <w:lang w:val="en-GB"/>
          <w14:ligatures w14:val="none"/>
        </w:rPr>
      </w:pPr>
      <w:r w:rsidRPr="003E09A6">
        <w:rPr>
          <w:rFonts w:ascii="Arial" w:eastAsia="Calibri" w:hAnsi="Arial" w:cs="Arial"/>
          <w:sz w:val="20"/>
          <w:szCs w:val="20"/>
          <w:lang w:val="en-GB"/>
          <w14:ligatures w14:val="none"/>
        </w:rPr>
        <w:t>If the transfer pricing file is not submitted via the SPV platform, it may later be requested during a tax audit, in which case the taxpayer will have a maximum of 5 working days to provide the documentation.</w:t>
      </w:r>
    </w:p>
    <w:p w14:paraId="187CB4D5" w14:textId="77777777" w:rsidR="002160EC" w:rsidRPr="003E09A6" w:rsidRDefault="002160EC" w:rsidP="002160EC">
      <w:pPr>
        <w:widowControl w:val="0"/>
        <w:spacing w:after="0" w:line="240" w:lineRule="auto"/>
        <w:contextualSpacing/>
        <w:jc w:val="both"/>
        <w:rPr>
          <w:rFonts w:ascii="Arial" w:eastAsia="Calibri" w:hAnsi="Arial" w:cs="Arial"/>
          <w:sz w:val="20"/>
          <w:szCs w:val="20"/>
          <w:lang w:val="en-GB"/>
          <w14:ligatures w14:val="none"/>
        </w:rPr>
      </w:pPr>
    </w:p>
    <w:p w14:paraId="2F2580DE" w14:textId="77777777" w:rsidR="00853CB9" w:rsidRDefault="002160EC" w:rsidP="002160EC">
      <w:pPr>
        <w:widowControl w:val="0"/>
        <w:spacing w:after="0" w:line="240" w:lineRule="auto"/>
        <w:contextualSpacing/>
        <w:jc w:val="both"/>
        <w:rPr>
          <w:rFonts w:ascii="Arial" w:eastAsia="Calibri" w:hAnsi="Arial" w:cs="Arial"/>
          <w:sz w:val="20"/>
          <w:szCs w:val="20"/>
          <w:lang w:val="en-GB"/>
          <w14:ligatures w14:val="none"/>
        </w:rPr>
      </w:pPr>
      <w:r w:rsidRPr="003E09A6">
        <w:rPr>
          <w:rFonts w:ascii="Arial" w:eastAsia="Calibri" w:hAnsi="Arial" w:cs="Arial"/>
          <w:sz w:val="20"/>
          <w:szCs w:val="20"/>
          <w:lang w:val="en-GB"/>
          <w14:ligatures w14:val="none"/>
        </w:rPr>
        <w:t xml:space="preserve">For small and medium-sized taxpayers, the obligation to prepare and submit the transfer pricing file only upon request of the tax authority, as part of a tax audit, remains unchanged. However, the Order amends the deadlines for submitting the documentation, which now range between 30 and 60 working days from </w:t>
      </w:r>
    </w:p>
    <w:p w14:paraId="0388BE27" w14:textId="77777777" w:rsidR="00853CB9" w:rsidRDefault="00853CB9" w:rsidP="002160EC">
      <w:pPr>
        <w:widowControl w:val="0"/>
        <w:spacing w:after="0" w:line="240" w:lineRule="auto"/>
        <w:contextualSpacing/>
        <w:jc w:val="both"/>
        <w:rPr>
          <w:rFonts w:ascii="Arial" w:eastAsia="Calibri" w:hAnsi="Arial" w:cs="Arial"/>
          <w:sz w:val="20"/>
          <w:szCs w:val="20"/>
          <w:lang w:val="en-GB"/>
          <w14:ligatures w14:val="none"/>
        </w:rPr>
      </w:pPr>
    </w:p>
    <w:p w14:paraId="2CC5A886" w14:textId="77777777" w:rsidR="00853CB9" w:rsidRDefault="00853CB9" w:rsidP="002160EC">
      <w:pPr>
        <w:widowControl w:val="0"/>
        <w:spacing w:after="0" w:line="240" w:lineRule="auto"/>
        <w:contextualSpacing/>
        <w:jc w:val="both"/>
        <w:rPr>
          <w:rFonts w:ascii="Arial" w:eastAsia="Calibri" w:hAnsi="Arial" w:cs="Arial"/>
          <w:sz w:val="20"/>
          <w:szCs w:val="20"/>
          <w:lang w:val="en-GB"/>
          <w14:ligatures w14:val="none"/>
        </w:rPr>
      </w:pPr>
    </w:p>
    <w:p w14:paraId="033202B5" w14:textId="2FF3886E" w:rsidR="002160EC" w:rsidRPr="003E09A6" w:rsidRDefault="002160EC" w:rsidP="002160EC">
      <w:pPr>
        <w:widowControl w:val="0"/>
        <w:spacing w:after="0" w:line="240" w:lineRule="auto"/>
        <w:contextualSpacing/>
        <w:jc w:val="both"/>
        <w:rPr>
          <w:rFonts w:ascii="Arial" w:eastAsia="Calibri" w:hAnsi="Arial" w:cs="Arial"/>
          <w:sz w:val="20"/>
          <w:szCs w:val="20"/>
          <w:lang w:val="en-GB"/>
          <w14:ligatures w14:val="none"/>
        </w:rPr>
      </w:pPr>
      <w:r w:rsidRPr="003E09A6">
        <w:rPr>
          <w:rFonts w:ascii="Arial" w:eastAsia="Calibri" w:hAnsi="Arial" w:cs="Arial"/>
          <w:sz w:val="20"/>
          <w:szCs w:val="20"/>
          <w:lang w:val="en-GB"/>
          <w14:ligatures w14:val="none"/>
        </w:rPr>
        <w:t>the date of communication of the request, with the previous deadlines being expressed in calendar days. In addition, a deadline may be extended only once, upon the taxpayer’s justified request, and by no more than 30 working days.</w:t>
      </w:r>
    </w:p>
    <w:p w14:paraId="309E9D7E" w14:textId="77777777" w:rsidR="002160EC" w:rsidRPr="003E09A6" w:rsidRDefault="002160EC" w:rsidP="002160EC">
      <w:pPr>
        <w:widowControl w:val="0"/>
        <w:spacing w:after="0" w:line="240" w:lineRule="auto"/>
        <w:contextualSpacing/>
        <w:jc w:val="both"/>
        <w:rPr>
          <w:rFonts w:ascii="Arial" w:eastAsia="Calibri" w:hAnsi="Arial" w:cs="Arial"/>
          <w:sz w:val="20"/>
          <w:szCs w:val="20"/>
          <w:lang w:val="en-GB"/>
          <w14:ligatures w14:val="none"/>
        </w:rPr>
      </w:pPr>
    </w:p>
    <w:p w14:paraId="500CA60B" w14:textId="77777777" w:rsidR="002160EC" w:rsidRPr="00747546" w:rsidRDefault="002160EC" w:rsidP="002160EC">
      <w:pPr>
        <w:pStyle w:val="ListParagraph"/>
        <w:widowControl w:val="0"/>
        <w:numPr>
          <w:ilvl w:val="0"/>
          <w:numId w:val="14"/>
        </w:numPr>
        <w:spacing w:after="0" w:line="240" w:lineRule="auto"/>
        <w:jc w:val="both"/>
        <w:rPr>
          <w:rFonts w:ascii="Arial" w:eastAsia="Calibri" w:hAnsi="Arial" w:cs="Arial"/>
          <w:b/>
          <w:color w:val="76923C"/>
          <w:sz w:val="20"/>
          <w:szCs w:val="20"/>
          <w:lang w:val="en-GB"/>
          <w14:ligatures w14:val="none"/>
        </w:rPr>
      </w:pPr>
      <w:r w:rsidRPr="00747546">
        <w:rPr>
          <w:rFonts w:ascii="Arial" w:eastAsia="Calibri" w:hAnsi="Arial" w:cs="Arial"/>
          <w:b/>
          <w:color w:val="76923C"/>
          <w:sz w:val="20"/>
          <w:szCs w:val="20"/>
          <w:lang w:val="en-GB"/>
          <w14:ligatures w14:val="none"/>
        </w:rPr>
        <w:t>Changes to the content of the transfer pricing file</w:t>
      </w:r>
    </w:p>
    <w:p w14:paraId="104AD87A" w14:textId="77777777" w:rsidR="002160EC" w:rsidRPr="003E09A6" w:rsidRDefault="002160EC" w:rsidP="002160EC">
      <w:pPr>
        <w:widowControl w:val="0"/>
        <w:spacing w:after="0"/>
        <w:contextualSpacing/>
        <w:jc w:val="both"/>
        <w:rPr>
          <w:rFonts w:ascii="Arial" w:eastAsia="Calibri" w:hAnsi="Arial" w:cs="Arial"/>
          <w:b/>
          <w:color w:val="76923C"/>
          <w:sz w:val="20"/>
          <w:szCs w:val="20"/>
          <w:lang w:val="en-GB"/>
          <w14:ligatures w14:val="none"/>
        </w:rPr>
      </w:pPr>
    </w:p>
    <w:p w14:paraId="225F8A0D" w14:textId="77777777" w:rsidR="002160EC" w:rsidRPr="003E09A6" w:rsidRDefault="002160EC" w:rsidP="002160EC">
      <w:pPr>
        <w:widowControl w:val="0"/>
        <w:spacing w:after="0" w:line="240" w:lineRule="auto"/>
        <w:contextualSpacing/>
        <w:jc w:val="both"/>
        <w:rPr>
          <w:rFonts w:ascii="Arial" w:eastAsia="Calibri" w:hAnsi="Arial" w:cs="Arial"/>
          <w:bCs/>
          <w:sz w:val="20"/>
          <w:szCs w:val="20"/>
          <w:lang w:val="en-GB"/>
          <w14:ligatures w14:val="none"/>
        </w:rPr>
      </w:pPr>
      <w:r w:rsidRPr="003E09A6">
        <w:rPr>
          <w:rFonts w:ascii="Arial" w:eastAsia="Calibri" w:hAnsi="Arial" w:cs="Arial"/>
          <w:bCs/>
          <w:sz w:val="20"/>
          <w:szCs w:val="20"/>
          <w:lang w:val="en-GB"/>
          <w14:ligatures w14:val="none"/>
        </w:rPr>
        <w:t>The Order also introduces significant changes regarding to the content of the transfer pricing file and places considerably greater emphasis on documenting the taxpayer’s functional profile and the information on which the transfer pricing analysis is based.</w:t>
      </w:r>
    </w:p>
    <w:p w14:paraId="463FE45F" w14:textId="77777777" w:rsidR="002160EC" w:rsidRPr="003E09A6" w:rsidRDefault="002160EC" w:rsidP="002160EC">
      <w:pPr>
        <w:widowControl w:val="0"/>
        <w:spacing w:after="0" w:line="240" w:lineRule="auto"/>
        <w:contextualSpacing/>
        <w:jc w:val="both"/>
        <w:rPr>
          <w:rFonts w:ascii="Arial" w:eastAsia="Calibri" w:hAnsi="Arial" w:cs="Arial"/>
          <w:bCs/>
          <w:sz w:val="20"/>
          <w:szCs w:val="20"/>
          <w:lang w:val="en-GB"/>
          <w14:ligatures w14:val="none"/>
        </w:rPr>
      </w:pPr>
    </w:p>
    <w:p w14:paraId="1C28ED93" w14:textId="77777777" w:rsidR="002160EC" w:rsidRPr="003E09A6" w:rsidRDefault="002160EC" w:rsidP="002160EC">
      <w:pPr>
        <w:widowControl w:val="0"/>
        <w:spacing w:after="0" w:line="240" w:lineRule="auto"/>
        <w:contextualSpacing/>
        <w:jc w:val="both"/>
        <w:rPr>
          <w:rFonts w:ascii="Arial" w:eastAsia="Calibri" w:hAnsi="Arial" w:cs="Arial"/>
          <w:bCs/>
          <w:sz w:val="20"/>
          <w:szCs w:val="20"/>
          <w:lang w:val="en-GB"/>
          <w14:ligatures w14:val="none"/>
        </w:rPr>
      </w:pPr>
      <w:r w:rsidRPr="003E09A6">
        <w:rPr>
          <w:rFonts w:ascii="Arial" w:eastAsia="Calibri" w:hAnsi="Arial" w:cs="Arial"/>
          <w:bCs/>
          <w:sz w:val="20"/>
          <w:szCs w:val="20"/>
          <w:lang w:val="en-GB"/>
          <w14:ligatures w14:val="none"/>
        </w:rPr>
        <w:t>In this regard, the new provisions expand the information that must be included in the file and place greater importance on justifying the selection of the tested party. Where the tested party is not the taxpayer preparing the documentation, the taxpayer must make available the information used to calculate the profitability indicator, optionally including a report issued by an independent auditor certifying its existence, amount and accuracy for each fiscal year under review.</w:t>
      </w:r>
    </w:p>
    <w:p w14:paraId="692EEACE" w14:textId="77777777" w:rsidR="002160EC" w:rsidRPr="003E09A6" w:rsidRDefault="002160EC" w:rsidP="002160EC">
      <w:pPr>
        <w:widowControl w:val="0"/>
        <w:spacing w:after="0" w:line="240" w:lineRule="auto"/>
        <w:contextualSpacing/>
        <w:jc w:val="both"/>
        <w:rPr>
          <w:rFonts w:ascii="Arial" w:eastAsia="Calibri" w:hAnsi="Arial" w:cs="Arial"/>
          <w:bCs/>
          <w:sz w:val="20"/>
          <w:szCs w:val="20"/>
          <w:lang w:val="en-GB"/>
          <w14:ligatures w14:val="none"/>
        </w:rPr>
      </w:pPr>
    </w:p>
    <w:p w14:paraId="47F2C8D6" w14:textId="77777777" w:rsidR="002160EC" w:rsidRPr="003E09A6" w:rsidRDefault="002160EC" w:rsidP="002160EC">
      <w:pPr>
        <w:widowControl w:val="0"/>
        <w:spacing w:after="0" w:line="240" w:lineRule="auto"/>
        <w:contextualSpacing/>
        <w:jc w:val="both"/>
        <w:rPr>
          <w:rFonts w:ascii="Arial" w:eastAsia="Calibri" w:hAnsi="Arial" w:cs="Arial"/>
          <w:bCs/>
          <w:sz w:val="20"/>
          <w:szCs w:val="20"/>
          <w:lang w:val="en-GB"/>
          <w14:ligatures w14:val="none"/>
        </w:rPr>
      </w:pPr>
      <w:r w:rsidRPr="003E09A6">
        <w:rPr>
          <w:rFonts w:ascii="Arial" w:eastAsia="Calibri" w:hAnsi="Arial" w:cs="Arial"/>
          <w:bCs/>
          <w:sz w:val="20"/>
          <w:szCs w:val="20"/>
          <w:lang w:val="en-GB"/>
          <w14:ligatures w14:val="none"/>
        </w:rPr>
        <w:t>Furthermore, the Order introduces the obligation to include a signed declaration certifying the truthfulness and accuracy of the information presented in the file and requires the identification of sensitive information that could lead to the disclosure of commercial, industrial or professional secrets.</w:t>
      </w:r>
    </w:p>
    <w:p w14:paraId="480F9814" w14:textId="77777777" w:rsidR="002160EC" w:rsidRPr="003E09A6" w:rsidRDefault="002160EC" w:rsidP="002160EC">
      <w:pPr>
        <w:widowControl w:val="0"/>
        <w:spacing w:after="0" w:line="240" w:lineRule="auto"/>
        <w:contextualSpacing/>
        <w:jc w:val="both"/>
        <w:rPr>
          <w:rFonts w:ascii="Arial" w:eastAsia="Calibri" w:hAnsi="Arial" w:cs="Arial"/>
          <w:bCs/>
          <w:sz w:val="20"/>
          <w:szCs w:val="20"/>
          <w:lang w:val="en-GB"/>
          <w14:ligatures w14:val="none"/>
        </w:rPr>
      </w:pPr>
    </w:p>
    <w:p w14:paraId="194A050B" w14:textId="77777777" w:rsidR="002160EC" w:rsidRPr="003E09A6" w:rsidRDefault="002160EC" w:rsidP="002160EC">
      <w:pPr>
        <w:widowControl w:val="0"/>
        <w:spacing w:after="0" w:line="240" w:lineRule="auto"/>
        <w:contextualSpacing/>
        <w:jc w:val="both"/>
        <w:rPr>
          <w:rFonts w:ascii="Arial" w:eastAsia="Calibri" w:hAnsi="Arial" w:cs="Arial"/>
          <w:b/>
          <w:bCs/>
          <w:sz w:val="20"/>
          <w:szCs w:val="20"/>
          <w:lang w:val="en-GB"/>
          <w14:ligatures w14:val="none"/>
        </w:rPr>
      </w:pPr>
      <w:r w:rsidRPr="003E09A6">
        <w:rPr>
          <w:rFonts w:ascii="Arial" w:eastAsia="Calibri" w:hAnsi="Arial" w:cs="Arial"/>
          <w:b/>
          <w:bCs/>
          <w:sz w:val="20"/>
          <w:szCs w:val="20"/>
          <w:lang w:val="en-GB"/>
          <w14:ligatures w14:val="none"/>
        </w:rPr>
        <w:t>Comparability studies</w:t>
      </w:r>
    </w:p>
    <w:p w14:paraId="47B03F4D" w14:textId="77777777" w:rsidR="002160EC" w:rsidRPr="003E09A6" w:rsidRDefault="002160EC" w:rsidP="002160EC">
      <w:pPr>
        <w:widowControl w:val="0"/>
        <w:spacing w:after="0" w:line="240" w:lineRule="auto"/>
        <w:contextualSpacing/>
        <w:jc w:val="both"/>
        <w:rPr>
          <w:rFonts w:ascii="Arial" w:eastAsia="Calibri" w:hAnsi="Arial" w:cs="Arial"/>
          <w:bCs/>
          <w:sz w:val="20"/>
          <w:szCs w:val="20"/>
          <w:lang w:val="en-GB"/>
          <w14:ligatures w14:val="none"/>
        </w:rPr>
      </w:pPr>
    </w:p>
    <w:p w14:paraId="4F7951AD" w14:textId="77777777" w:rsidR="002160EC" w:rsidRPr="003E09A6" w:rsidRDefault="002160EC" w:rsidP="002160EC">
      <w:pPr>
        <w:widowControl w:val="0"/>
        <w:spacing w:after="0" w:line="240" w:lineRule="auto"/>
        <w:contextualSpacing/>
        <w:jc w:val="both"/>
        <w:rPr>
          <w:rFonts w:ascii="Arial" w:eastAsia="Calibri" w:hAnsi="Arial" w:cs="Arial"/>
          <w:bCs/>
          <w:sz w:val="20"/>
          <w:szCs w:val="20"/>
          <w:lang w:val="en-GB"/>
          <w14:ligatures w14:val="none"/>
        </w:rPr>
      </w:pPr>
      <w:r w:rsidRPr="003E09A6">
        <w:rPr>
          <w:rFonts w:ascii="Arial" w:eastAsia="Calibri" w:hAnsi="Arial" w:cs="Arial"/>
          <w:bCs/>
          <w:sz w:val="20"/>
          <w:szCs w:val="20"/>
          <w:lang w:val="en-GB"/>
          <w14:ligatures w14:val="none"/>
        </w:rPr>
        <w:t>Important changes are also introduced with respect to the preparation of comparability studies, aiming to increase the transparency of the comparable selection process and facilitate the review of the analysis by the tax authorities.</w:t>
      </w:r>
    </w:p>
    <w:p w14:paraId="7C3F387B" w14:textId="77777777" w:rsidR="002160EC" w:rsidRPr="003E09A6" w:rsidRDefault="002160EC" w:rsidP="002160EC">
      <w:pPr>
        <w:widowControl w:val="0"/>
        <w:spacing w:after="0" w:line="240" w:lineRule="auto"/>
        <w:contextualSpacing/>
        <w:jc w:val="both"/>
        <w:rPr>
          <w:rFonts w:ascii="Arial" w:eastAsia="Calibri" w:hAnsi="Arial" w:cs="Arial"/>
          <w:bCs/>
          <w:sz w:val="20"/>
          <w:szCs w:val="20"/>
          <w:lang w:val="en-GB"/>
          <w14:ligatures w14:val="none"/>
        </w:rPr>
      </w:pPr>
    </w:p>
    <w:p w14:paraId="2066B056" w14:textId="77777777" w:rsidR="002160EC" w:rsidRPr="003E09A6" w:rsidRDefault="002160EC" w:rsidP="002160EC">
      <w:pPr>
        <w:widowControl w:val="0"/>
        <w:spacing w:after="0" w:line="240" w:lineRule="auto"/>
        <w:contextualSpacing/>
        <w:jc w:val="both"/>
        <w:rPr>
          <w:rFonts w:ascii="Arial" w:eastAsia="Calibri" w:hAnsi="Arial" w:cs="Arial"/>
          <w:bCs/>
          <w:sz w:val="20"/>
          <w:szCs w:val="20"/>
          <w:lang w:val="en-GB"/>
          <w14:ligatures w14:val="none"/>
        </w:rPr>
      </w:pPr>
      <w:r w:rsidRPr="003E09A6">
        <w:rPr>
          <w:rFonts w:ascii="Arial" w:eastAsia="Calibri" w:hAnsi="Arial" w:cs="Arial"/>
          <w:bCs/>
          <w:sz w:val="20"/>
          <w:szCs w:val="20"/>
          <w:lang w:val="en-GB"/>
          <w14:ligatures w14:val="none"/>
        </w:rPr>
        <w:t>Regarding the selection of geographic criteria, the Order stipulates that, where the tested party is not a taxpayer that is fiscally resident in Romania, the comparability analysis must be carried out based on comparables identified in the jurisdiction where the tested party is a tax resident.</w:t>
      </w:r>
    </w:p>
    <w:p w14:paraId="1E878B37" w14:textId="77777777" w:rsidR="002160EC" w:rsidRPr="003E09A6" w:rsidRDefault="002160EC" w:rsidP="002160EC">
      <w:pPr>
        <w:widowControl w:val="0"/>
        <w:spacing w:after="0" w:line="240" w:lineRule="auto"/>
        <w:contextualSpacing/>
        <w:jc w:val="both"/>
        <w:rPr>
          <w:rFonts w:ascii="Arial" w:eastAsia="Calibri" w:hAnsi="Arial" w:cs="Arial"/>
          <w:bCs/>
          <w:sz w:val="20"/>
          <w:szCs w:val="20"/>
          <w:lang w:val="en-GB"/>
          <w14:ligatures w14:val="none"/>
        </w:rPr>
      </w:pPr>
    </w:p>
    <w:p w14:paraId="50F48AC1" w14:textId="77777777" w:rsidR="002160EC" w:rsidRPr="003E09A6" w:rsidRDefault="002160EC" w:rsidP="002160EC">
      <w:pPr>
        <w:widowControl w:val="0"/>
        <w:spacing w:after="0" w:line="240" w:lineRule="auto"/>
        <w:contextualSpacing/>
        <w:jc w:val="both"/>
        <w:rPr>
          <w:rFonts w:ascii="Arial" w:eastAsia="Calibri" w:hAnsi="Arial" w:cs="Arial"/>
          <w:bCs/>
          <w:sz w:val="20"/>
          <w:szCs w:val="20"/>
          <w:lang w:val="en-GB"/>
          <w14:ligatures w14:val="none"/>
        </w:rPr>
      </w:pPr>
      <w:r w:rsidRPr="003E09A6">
        <w:rPr>
          <w:rFonts w:ascii="Arial" w:eastAsia="Calibri" w:hAnsi="Arial" w:cs="Arial"/>
          <w:bCs/>
          <w:sz w:val="20"/>
          <w:szCs w:val="20"/>
          <w:lang w:val="en-GB"/>
          <w14:ligatures w14:val="none"/>
        </w:rPr>
        <w:t>In addition, detailed requirements are introduced regarding the documentation of both the companies included in the set of comparables and those eliminated during the selection process.</w:t>
      </w:r>
    </w:p>
    <w:p w14:paraId="507BFCC8" w14:textId="77777777" w:rsidR="002160EC" w:rsidRPr="003E09A6" w:rsidRDefault="002160EC" w:rsidP="002160EC">
      <w:pPr>
        <w:widowControl w:val="0"/>
        <w:spacing w:after="0" w:line="240" w:lineRule="auto"/>
        <w:contextualSpacing/>
        <w:jc w:val="both"/>
        <w:rPr>
          <w:rFonts w:ascii="Arial" w:eastAsia="Calibri" w:hAnsi="Arial" w:cs="Arial"/>
          <w:bCs/>
          <w:sz w:val="20"/>
          <w:szCs w:val="20"/>
          <w:lang w:val="en-GB"/>
          <w14:ligatures w14:val="none"/>
        </w:rPr>
      </w:pPr>
    </w:p>
    <w:p w14:paraId="3F9D695C" w14:textId="77777777" w:rsidR="002160EC" w:rsidRPr="003E09A6" w:rsidRDefault="002160EC" w:rsidP="002160EC">
      <w:pPr>
        <w:widowControl w:val="0"/>
        <w:spacing w:after="0" w:line="240" w:lineRule="auto"/>
        <w:contextualSpacing/>
        <w:jc w:val="both"/>
        <w:rPr>
          <w:rFonts w:ascii="Arial" w:eastAsia="Calibri" w:hAnsi="Arial" w:cs="Arial"/>
          <w:bCs/>
          <w:sz w:val="20"/>
          <w:szCs w:val="20"/>
          <w:lang w:val="en-GB"/>
          <w14:ligatures w14:val="none"/>
        </w:rPr>
      </w:pPr>
      <w:proofErr w:type="gramStart"/>
      <w:r w:rsidRPr="003E09A6">
        <w:rPr>
          <w:rFonts w:ascii="Arial" w:eastAsia="Calibri" w:hAnsi="Arial" w:cs="Arial"/>
          <w:bCs/>
          <w:sz w:val="20"/>
          <w:szCs w:val="20"/>
          <w:lang w:val="en-GB"/>
          <w14:ligatures w14:val="none"/>
        </w:rPr>
        <w:t>Last but not least</w:t>
      </w:r>
      <w:proofErr w:type="gramEnd"/>
      <w:r w:rsidRPr="003E09A6">
        <w:rPr>
          <w:rFonts w:ascii="Arial" w:eastAsia="Calibri" w:hAnsi="Arial" w:cs="Arial"/>
          <w:bCs/>
          <w:sz w:val="20"/>
          <w:szCs w:val="20"/>
          <w:lang w:val="en-GB"/>
          <w14:ligatures w14:val="none"/>
        </w:rPr>
        <w:t>, clearer rules are introduced regarding the use of multi-year analyses. Consequently, where the comparability study is based on multi-year data, it must cover a period of at least three fiscal years, as a rule the three years preceding the preparation of the file. Where justified, the analysis may include a three-year period that also covers the year in which the file is prepared, depending on the availability of information in the commercial databases used.</w:t>
      </w:r>
    </w:p>
    <w:p w14:paraId="14DFCD0F" w14:textId="77777777" w:rsidR="002160EC" w:rsidRPr="003E09A6" w:rsidRDefault="002160EC" w:rsidP="002160EC">
      <w:pPr>
        <w:widowControl w:val="0"/>
        <w:spacing w:after="0" w:line="240" w:lineRule="auto"/>
        <w:contextualSpacing/>
        <w:jc w:val="both"/>
        <w:rPr>
          <w:rFonts w:ascii="Arial" w:eastAsia="Calibri" w:hAnsi="Arial" w:cs="Arial"/>
          <w:bCs/>
          <w:sz w:val="20"/>
          <w:szCs w:val="20"/>
          <w:lang w:val="en-GB"/>
          <w14:ligatures w14:val="none"/>
        </w:rPr>
      </w:pPr>
    </w:p>
    <w:p w14:paraId="68CA7BBC" w14:textId="77777777" w:rsidR="002160EC" w:rsidRDefault="002160EC" w:rsidP="002160EC">
      <w:pPr>
        <w:widowControl w:val="0"/>
        <w:spacing w:after="0"/>
        <w:contextualSpacing/>
        <w:jc w:val="both"/>
        <w:rPr>
          <w:rFonts w:ascii="Arial" w:eastAsia="Calibri" w:hAnsi="Arial" w:cs="Arial"/>
          <w:i/>
          <w:color w:val="808080"/>
          <w:sz w:val="20"/>
          <w:szCs w:val="20"/>
          <w:lang w:val="en-GB"/>
          <w14:ligatures w14:val="none"/>
        </w:rPr>
      </w:pPr>
      <w:r w:rsidRPr="003E09A6">
        <w:rPr>
          <w:rFonts w:ascii="Arial" w:eastAsia="Calibri" w:hAnsi="Arial" w:cs="Arial"/>
          <w:i/>
          <w:color w:val="808080"/>
          <w:sz w:val="20"/>
          <w:szCs w:val="20"/>
          <w:lang w:val="en-GB"/>
          <w14:ligatures w14:val="none"/>
        </w:rPr>
        <w:t xml:space="preserve">Source: </w:t>
      </w:r>
      <w:r w:rsidRPr="003E09A6">
        <w:rPr>
          <w:rFonts w:ascii="Arial" w:eastAsia="Calibri" w:hAnsi="Arial" w:cs="Arial"/>
          <w:i/>
          <w:iCs/>
          <w:color w:val="808080"/>
          <w:sz w:val="20"/>
          <w:szCs w:val="20"/>
          <w:lang w:val="en-GB"/>
          <w14:ligatures w14:val="none"/>
        </w:rPr>
        <w:t>Order no. 828/2026 on the value thresholds for transactions, deadlines for preparation, content and conditions for requesting the transfer pricing documentation file, and the procedure for the adjustment/estimation of transfer prices</w:t>
      </w:r>
      <w:r w:rsidRPr="003E09A6">
        <w:rPr>
          <w:rFonts w:ascii="Arial" w:eastAsia="Calibri" w:hAnsi="Arial" w:cs="Arial"/>
          <w:i/>
          <w:color w:val="808080"/>
          <w:sz w:val="20"/>
          <w:szCs w:val="20"/>
          <w:lang w:val="en-GB"/>
          <w14:ligatures w14:val="none"/>
        </w:rPr>
        <w:t>, as published on 2 July 2026</w:t>
      </w:r>
    </w:p>
    <w:p w14:paraId="410C72E2" w14:textId="77777777" w:rsidR="00853CB9" w:rsidRDefault="00853CB9" w:rsidP="002160EC">
      <w:pPr>
        <w:widowControl w:val="0"/>
        <w:spacing w:after="0"/>
        <w:contextualSpacing/>
        <w:jc w:val="both"/>
        <w:rPr>
          <w:rFonts w:ascii="Arial" w:eastAsia="Calibri" w:hAnsi="Arial" w:cs="Arial"/>
          <w:i/>
          <w:color w:val="808080"/>
          <w:sz w:val="20"/>
          <w:szCs w:val="20"/>
          <w:lang w:val="en-GB"/>
          <w14:ligatures w14:val="none"/>
        </w:rPr>
      </w:pPr>
    </w:p>
    <w:p w14:paraId="25DBB91B" w14:textId="77777777" w:rsidR="00BD1D2E" w:rsidRDefault="00BD1D2E" w:rsidP="002160EC">
      <w:pPr>
        <w:widowControl w:val="0"/>
        <w:spacing w:after="0"/>
        <w:contextualSpacing/>
        <w:jc w:val="both"/>
        <w:rPr>
          <w:rFonts w:ascii="Arial" w:eastAsia="Calibri" w:hAnsi="Arial" w:cs="Arial"/>
          <w:i/>
          <w:color w:val="808080"/>
          <w:sz w:val="20"/>
          <w:szCs w:val="20"/>
          <w:lang w:val="en-GB"/>
          <w14:ligatures w14:val="none"/>
        </w:rPr>
      </w:pPr>
    </w:p>
    <w:p w14:paraId="375E1A69" w14:textId="77777777" w:rsidR="00362557" w:rsidRPr="003E09A6" w:rsidRDefault="00362557" w:rsidP="00362557">
      <w:pPr>
        <w:framePr w:hSpace="180" w:wrap="around" w:vAnchor="text" w:hAnchor="text" w:xAlign="right" w:y="1"/>
        <w:widowControl w:val="0"/>
        <w:numPr>
          <w:ilvl w:val="0"/>
          <w:numId w:val="11"/>
        </w:numPr>
        <w:spacing w:after="0" w:line="300" w:lineRule="exact"/>
        <w:contextualSpacing/>
        <w:suppressOverlap/>
        <w:jc w:val="both"/>
        <w:rPr>
          <w:rFonts w:ascii="Arial" w:eastAsia="Calibri" w:hAnsi="Arial" w:cs="Arial"/>
          <w:b/>
          <w:bCs/>
          <w:color w:val="005233"/>
          <w:sz w:val="20"/>
          <w:szCs w:val="20"/>
          <w:u w:val="single"/>
          <w:lang w:val="en-GB"/>
          <w14:ligatures w14:val="none"/>
        </w:rPr>
      </w:pPr>
      <w:r w:rsidRPr="00853CB9">
        <w:rPr>
          <w:rFonts w:ascii="Arial" w:eastAsia="Calibri" w:hAnsi="Arial" w:cs="Arial"/>
          <w:b/>
          <w:bCs/>
          <w:color w:val="005233"/>
          <w:sz w:val="22"/>
          <w:szCs w:val="22"/>
          <w:u w:val="single"/>
          <w:lang w:val="en-GB"/>
          <w14:ligatures w14:val="none"/>
        </w:rPr>
        <w:t xml:space="preserve">New rules on the procedure for issuing and amending advance pricing agreements </w:t>
      </w:r>
    </w:p>
    <w:p w14:paraId="3027FE52" w14:textId="77777777" w:rsidR="00362557" w:rsidRPr="003E09A6" w:rsidRDefault="00362557" w:rsidP="00362557">
      <w:pPr>
        <w:framePr w:hSpace="180" w:wrap="around" w:vAnchor="text" w:hAnchor="text" w:xAlign="right" w:y="1"/>
        <w:widowControl w:val="0"/>
        <w:spacing w:after="0"/>
        <w:contextualSpacing/>
        <w:suppressOverlap/>
        <w:jc w:val="both"/>
        <w:rPr>
          <w:rFonts w:ascii="Arial" w:eastAsia="Calibri" w:hAnsi="Arial" w:cs="Arial"/>
          <w:iCs/>
          <w:sz w:val="20"/>
          <w:szCs w:val="20"/>
          <w:lang w:val="en-GB"/>
          <w14:ligatures w14:val="none"/>
        </w:rPr>
      </w:pPr>
    </w:p>
    <w:p w14:paraId="656C7D02" w14:textId="332E403B" w:rsidR="00BD1D2E" w:rsidRDefault="00362557" w:rsidP="00362557">
      <w:pPr>
        <w:widowControl w:val="0"/>
        <w:spacing w:after="0"/>
        <w:contextualSpacing/>
        <w:jc w:val="both"/>
        <w:rPr>
          <w:rFonts w:ascii="Arial" w:eastAsia="Calibri" w:hAnsi="Arial" w:cs="Arial"/>
          <w:iCs/>
          <w:sz w:val="20"/>
          <w:szCs w:val="20"/>
          <w:lang w:val="en-GB"/>
          <w14:ligatures w14:val="none"/>
        </w:rPr>
      </w:pPr>
      <w:r w:rsidRPr="003E09A6">
        <w:rPr>
          <w:rFonts w:ascii="Arial" w:eastAsia="Calibri" w:hAnsi="Arial" w:cs="Arial"/>
          <w:iCs/>
          <w:sz w:val="20"/>
          <w:szCs w:val="20"/>
          <w:lang w:val="en-GB"/>
          <w14:ligatures w14:val="none"/>
        </w:rPr>
        <w:t>ANAF Order no. 827/2026, published on 2 July 2026, approves the new procedure for the issuing and amendment of advance pricing agreements (APAs), as well as the content of the application and the supporting documentation. The new provisions apply to applications submitted after the Order enters into force, while those already submitted remain subject to the regulations in place on the date of submission</w:t>
      </w:r>
      <w:r>
        <w:rPr>
          <w:rFonts w:ascii="Arial" w:eastAsia="Calibri" w:hAnsi="Arial" w:cs="Arial"/>
          <w:iCs/>
          <w:sz w:val="20"/>
          <w:szCs w:val="20"/>
          <w:lang w:val="en-GB"/>
          <w14:ligatures w14:val="none"/>
        </w:rPr>
        <w:t>.</w:t>
      </w:r>
    </w:p>
    <w:p w14:paraId="3E140482" w14:textId="77777777" w:rsidR="00362557" w:rsidRPr="006637EB" w:rsidRDefault="00362557" w:rsidP="00362557">
      <w:pPr>
        <w:widowControl w:val="0"/>
        <w:spacing w:after="0"/>
        <w:contextualSpacing/>
        <w:jc w:val="both"/>
        <w:rPr>
          <w:rFonts w:ascii="Arial" w:eastAsia="Calibri" w:hAnsi="Arial" w:cs="Arial"/>
          <w:iCs/>
          <w:color w:val="808080"/>
          <w:sz w:val="20"/>
          <w:szCs w:val="20"/>
          <w:lang w:val="en-GB"/>
          <w14:ligatures w14:val="none"/>
        </w:rPr>
      </w:pPr>
    </w:p>
    <w:p w14:paraId="3AD2D144" w14:textId="77777777" w:rsidR="00853CB9" w:rsidRDefault="00853CB9" w:rsidP="00244C51">
      <w:pPr>
        <w:widowControl w:val="0"/>
        <w:spacing w:after="0"/>
        <w:contextualSpacing/>
        <w:jc w:val="both"/>
        <w:rPr>
          <w:rFonts w:ascii="Arial" w:eastAsia="Calibri" w:hAnsi="Arial" w:cs="Arial"/>
          <w:iCs/>
          <w:sz w:val="20"/>
          <w:szCs w:val="20"/>
          <w:lang w:val="en-GB"/>
          <w14:ligatures w14:val="none"/>
        </w:rPr>
      </w:pPr>
    </w:p>
    <w:p w14:paraId="4435A22B" w14:textId="15A01F05" w:rsidR="00244C51" w:rsidRPr="003E09A6" w:rsidRDefault="00244C51" w:rsidP="00244C51">
      <w:pPr>
        <w:widowControl w:val="0"/>
        <w:spacing w:after="0"/>
        <w:contextualSpacing/>
        <w:jc w:val="both"/>
        <w:rPr>
          <w:rFonts w:ascii="Arial" w:eastAsia="Calibri" w:hAnsi="Arial" w:cs="Arial"/>
          <w:iCs/>
          <w:sz w:val="20"/>
          <w:szCs w:val="20"/>
          <w:lang w:val="en-GB"/>
          <w14:ligatures w14:val="none"/>
        </w:rPr>
      </w:pPr>
      <w:r w:rsidRPr="003E09A6">
        <w:rPr>
          <w:rFonts w:ascii="Arial" w:eastAsia="Calibri" w:hAnsi="Arial" w:cs="Arial"/>
          <w:iCs/>
          <w:sz w:val="20"/>
          <w:szCs w:val="20"/>
          <w:lang w:val="en-GB"/>
          <w14:ligatures w14:val="none"/>
        </w:rPr>
        <w:t>The most significant change introduced by this Order is the express regulation of the rollback mechanism, which allows the effects of an APA to be extended to prior periods covering up to five closed fiscal years. However, it is important to note that an agreement cannot be requested exclusively for a prior period but only as part of an APA application covering a future period.</w:t>
      </w:r>
    </w:p>
    <w:p w14:paraId="589B33EC" w14:textId="77777777" w:rsidR="00244C51" w:rsidRPr="003E09A6" w:rsidRDefault="00244C51" w:rsidP="00244C51">
      <w:pPr>
        <w:widowControl w:val="0"/>
        <w:spacing w:after="0"/>
        <w:contextualSpacing/>
        <w:jc w:val="both"/>
        <w:rPr>
          <w:rFonts w:ascii="Arial" w:eastAsia="Calibri" w:hAnsi="Arial" w:cs="Arial"/>
          <w:iCs/>
          <w:sz w:val="20"/>
          <w:szCs w:val="20"/>
          <w:lang w:val="en-GB"/>
          <w14:ligatures w14:val="none"/>
        </w:rPr>
      </w:pPr>
    </w:p>
    <w:p w14:paraId="5523B894" w14:textId="77777777" w:rsidR="00244C51" w:rsidRPr="003E09A6" w:rsidRDefault="00244C51" w:rsidP="00244C51">
      <w:pPr>
        <w:widowControl w:val="0"/>
        <w:spacing w:after="0"/>
        <w:contextualSpacing/>
        <w:jc w:val="both"/>
        <w:rPr>
          <w:rFonts w:ascii="Arial" w:eastAsia="Calibri" w:hAnsi="Arial" w:cs="Arial"/>
          <w:iCs/>
          <w:sz w:val="20"/>
          <w:szCs w:val="20"/>
          <w:lang w:val="en-GB"/>
          <w14:ligatures w14:val="none"/>
        </w:rPr>
      </w:pPr>
      <w:r w:rsidRPr="003E09A6">
        <w:rPr>
          <w:rFonts w:ascii="Arial" w:eastAsia="Calibri" w:hAnsi="Arial" w:cs="Arial"/>
          <w:iCs/>
          <w:sz w:val="20"/>
          <w:szCs w:val="20"/>
          <w:lang w:val="en-GB"/>
          <w14:ligatures w14:val="none"/>
        </w:rPr>
        <w:t xml:space="preserve">Retroactive application is possible only within the applicable statute of limitations, provided the transactions from the prior periods were carried out under conditions </w:t>
      </w:r>
      <w:proofErr w:type="gramStart"/>
      <w:r w:rsidRPr="003E09A6">
        <w:rPr>
          <w:rFonts w:ascii="Arial" w:eastAsia="Calibri" w:hAnsi="Arial" w:cs="Arial"/>
          <w:iCs/>
          <w:sz w:val="20"/>
          <w:szCs w:val="20"/>
          <w:lang w:val="en-GB"/>
          <w14:ligatures w14:val="none"/>
        </w:rPr>
        <w:t>similar to</w:t>
      </w:r>
      <w:proofErr w:type="gramEnd"/>
      <w:r w:rsidRPr="003E09A6">
        <w:rPr>
          <w:rFonts w:ascii="Arial" w:eastAsia="Calibri" w:hAnsi="Arial" w:cs="Arial"/>
          <w:iCs/>
          <w:sz w:val="20"/>
          <w:szCs w:val="20"/>
          <w:lang w:val="en-GB"/>
          <w14:ligatures w14:val="none"/>
        </w:rPr>
        <w:t xml:space="preserve"> those analysed under the APA and that the requirements laid down by the Order are met. In addition, this facility is not available for periods that have already been subject to a corporate income tax audit concluded through the issuance of a tax inspection report.</w:t>
      </w:r>
    </w:p>
    <w:p w14:paraId="566CE96B" w14:textId="77777777" w:rsidR="00244C51" w:rsidRPr="003E09A6" w:rsidRDefault="00244C51" w:rsidP="00244C51">
      <w:pPr>
        <w:widowControl w:val="0"/>
        <w:spacing w:after="0"/>
        <w:contextualSpacing/>
        <w:jc w:val="both"/>
        <w:rPr>
          <w:rFonts w:ascii="Arial" w:eastAsia="Calibri" w:hAnsi="Arial" w:cs="Arial"/>
          <w:iCs/>
          <w:sz w:val="20"/>
          <w:szCs w:val="20"/>
          <w:lang w:val="en-GB"/>
          <w14:ligatures w14:val="none"/>
        </w:rPr>
      </w:pPr>
    </w:p>
    <w:p w14:paraId="2B439E0A" w14:textId="77777777" w:rsidR="00244C51" w:rsidRPr="003E09A6" w:rsidRDefault="00244C51" w:rsidP="00244C51">
      <w:pPr>
        <w:widowControl w:val="0"/>
        <w:spacing w:after="0"/>
        <w:contextualSpacing/>
        <w:jc w:val="both"/>
        <w:rPr>
          <w:rFonts w:ascii="Arial" w:eastAsia="Calibri" w:hAnsi="Arial" w:cs="Arial"/>
          <w:iCs/>
          <w:sz w:val="20"/>
          <w:szCs w:val="20"/>
          <w:lang w:val="en-GB"/>
          <w14:ligatures w14:val="none"/>
        </w:rPr>
      </w:pPr>
      <w:r w:rsidRPr="003E09A6">
        <w:rPr>
          <w:rFonts w:ascii="Arial" w:eastAsia="Calibri" w:hAnsi="Arial" w:cs="Arial"/>
          <w:iCs/>
          <w:sz w:val="20"/>
          <w:szCs w:val="20"/>
          <w:lang w:val="en-GB"/>
          <w14:ligatures w14:val="none"/>
        </w:rPr>
        <w:t>The Order also reformulates and makes more transparent the grounds for rejection, while the documentation required to obtain an APA is significantly more detailed and aligned with OECD standards.</w:t>
      </w:r>
    </w:p>
    <w:p w14:paraId="5C12BC40" w14:textId="77777777" w:rsidR="00244C51" w:rsidRPr="003E09A6" w:rsidRDefault="00244C51" w:rsidP="00244C51">
      <w:pPr>
        <w:widowControl w:val="0"/>
        <w:spacing w:after="0"/>
        <w:contextualSpacing/>
        <w:jc w:val="both"/>
        <w:rPr>
          <w:rFonts w:ascii="Arial" w:eastAsia="Calibri" w:hAnsi="Arial" w:cs="Arial"/>
          <w:iCs/>
          <w:sz w:val="20"/>
          <w:szCs w:val="20"/>
          <w:lang w:val="en-GB"/>
          <w14:ligatures w14:val="none"/>
        </w:rPr>
      </w:pPr>
    </w:p>
    <w:p w14:paraId="55CCBC30" w14:textId="77777777" w:rsidR="00244C51" w:rsidRPr="003E09A6" w:rsidRDefault="00244C51" w:rsidP="00244C51">
      <w:pPr>
        <w:widowControl w:val="0"/>
        <w:spacing w:after="0"/>
        <w:contextualSpacing/>
        <w:jc w:val="both"/>
        <w:rPr>
          <w:rFonts w:ascii="Arial" w:eastAsia="Calibri" w:hAnsi="Arial" w:cs="Arial"/>
          <w:b/>
          <w:bCs/>
          <w:sz w:val="20"/>
          <w:szCs w:val="20"/>
          <w:lang w:val="en-GB"/>
          <w14:ligatures w14:val="none"/>
        </w:rPr>
      </w:pPr>
      <w:r w:rsidRPr="003E09A6">
        <w:rPr>
          <w:rFonts w:ascii="Arial" w:eastAsia="Calibri" w:hAnsi="Arial" w:cs="Arial"/>
          <w:b/>
          <w:bCs/>
          <w:sz w:val="20"/>
          <w:szCs w:val="20"/>
          <w:lang w:val="en-GB"/>
          <w14:ligatures w14:val="none"/>
        </w:rPr>
        <w:t>Comparability study</w:t>
      </w:r>
    </w:p>
    <w:p w14:paraId="2A5C6E95" w14:textId="77777777" w:rsidR="00244C51" w:rsidRPr="003E09A6" w:rsidRDefault="00244C51" w:rsidP="00244C51">
      <w:pPr>
        <w:widowControl w:val="0"/>
        <w:spacing w:after="0"/>
        <w:contextualSpacing/>
        <w:jc w:val="both"/>
        <w:rPr>
          <w:rFonts w:ascii="Arial" w:eastAsia="Calibri" w:hAnsi="Arial" w:cs="Arial"/>
          <w:iCs/>
          <w:sz w:val="20"/>
          <w:szCs w:val="20"/>
          <w:lang w:val="en-GB"/>
          <w14:ligatures w14:val="none"/>
        </w:rPr>
      </w:pPr>
    </w:p>
    <w:p w14:paraId="370B083F" w14:textId="77777777" w:rsidR="00244C51" w:rsidRPr="003E09A6" w:rsidRDefault="00244C51" w:rsidP="00244C51">
      <w:pPr>
        <w:widowControl w:val="0"/>
        <w:spacing w:after="0"/>
        <w:contextualSpacing/>
        <w:jc w:val="both"/>
        <w:rPr>
          <w:rFonts w:ascii="Arial" w:eastAsia="Calibri" w:hAnsi="Arial" w:cs="Arial"/>
          <w:iCs/>
          <w:sz w:val="20"/>
          <w:szCs w:val="20"/>
          <w14:ligatures w14:val="none"/>
        </w:rPr>
      </w:pPr>
      <w:r w:rsidRPr="003E09A6">
        <w:rPr>
          <w:rFonts w:ascii="Arial" w:eastAsia="Calibri" w:hAnsi="Arial" w:cs="Arial"/>
          <w:iCs/>
          <w:sz w:val="20"/>
          <w:szCs w:val="20"/>
          <w:lang w:val="en-GB"/>
          <w14:ligatures w14:val="none"/>
        </w:rPr>
        <w:t xml:space="preserve">Detailed requirements are also introduced for the preparation of the comparability study. </w:t>
      </w:r>
      <w:r w:rsidRPr="003E09A6">
        <w:rPr>
          <w:rFonts w:ascii="Segoe UI" w:eastAsia="Times New Roman" w:hAnsi="Segoe UI" w:cs="Segoe UI"/>
          <w:sz w:val="21"/>
          <w:szCs w:val="21"/>
          <w14:ligatures w14:val="none"/>
        </w:rPr>
        <w:t xml:space="preserve"> </w:t>
      </w:r>
      <w:r w:rsidRPr="003E09A6">
        <w:rPr>
          <w:rFonts w:ascii="Arial" w:eastAsia="Calibri" w:hAnsi="Arial" w:cs="Arial"/>
          <w:iCs/>
          <w:sz w:val="20"/>
          <w:szCs w:val="20"/>
          <w14:ligatures w14:val="none"/>
        </w:rPr>
        <w:t>As a first step</w:t>
      </w:r>
      <w:r w:rsidRPr="003E09A6">
        <w:rPr>
          <w:rFonts w:ascii="Arial" w:eastAsia="Calibri" w:hAnsi="Arial" w:cs="Arial"/>
          <w:iCs/>
          <w:sz w:val="20"/>
          <w:szCs w:val="20"/>
          <w:lang w:val="en-GB"/>
          <w14:ligatures w14:val="none"/>
        </w:rPr>
        <w:t>, the comparability analysis will follow a clear geographic hierarchy, determined by the tax residence of the tested party.</w:t>
      </w:r>
    </w:p>
    <w:p w14:paraId="3D48229E" w14:textId="77777777" w:rsidR="00244C51" w:rsidRPr="003E09A6" w:rsidRDefault="00244C51" w:rsidP="00244C51">
      <w:pPr>
        <w:widowControl w:val="0"/>
        <w:spacing w:after="0"/>
        <w:contextualSpacing/>
        <w:jc w:val="both"/>
        <w:rPr>
          <w:rFonts w:ascii="Arial" w:eastAsia="Calibri" w:hAnsi="Arial" w:cs="Arial"/>
          <w:iCs/>
          <w:sz w:val="20"/>
          <w:szCs w:val="20"/>
          <w:lang w:val="en-GB"/>
          <w14:ligatures w14:val="none"/>
        </w:rPr>
      </w:pPr>
    </w:p>
    <w:p w14:paraId="1364D70D" w14:textId="77777777" w:rsidR="00244C51" w:rsidRPr="003E09A6" w:rsidRDefault="00244C51" w:rsidP="00244C51">
      <w:pPr>
        <w:widowControl w:val="0"/>
        <w:spacing w:after="0"/>
        <w:contextualSpacing/>
        <w:jc w:val="both"/>
        <w:rPr>
          <w:rFonts w:ascii="Arial" w:eastAsia="Calibri" w:hAnsi="Arial" w:cs="Arial"/>
          <w:iCs/>
          <w:sz w:val="20"/>
          <w:szCs w:val="20"/>
          <w:lang w:val="en-GB"/>
          <w14:ligatures w14:val="none"/>
        </w:rPr>
      </w:pPr>
      <w:r w:rsidRPr="003E09A6">
        <w:rPr>
          <w:rFonts w:ascii="Arial" w:eastAsia="Calibri" w:hAnsi="Arial" w:cs="Arial"/>
          <w:iCs/>
          <w:sz w:val="20"/>
          <w:szCs w:val="20"/>
          <w:lang w:val="en-GB"/>
          <w14:ligatures w14:val="none"/>
        </w:rPr>
        <w:t>Moreover, clearer rules are also introduced in this area regarding the use of multi-year analyses. Accordingly, where the comparability study is based on multi-year data, it must cover a period of at least three fiscal years, as a rule the three years preceding the year in which the file is prepared. Where justified, the analysis may cover a three-year period that also includes the year in which the file is prepared, depending on the availability of information in the commercial databases used.</w:t>
      </w:r>
    </w:p>
    <w:p w14:paraId="1E9AC46C" w14:textId="77777777" w:rsidR="00244C51" w:rsidRPr="003E09A6" w:rsidRDefault="00244C51" w:rsidP="00244C51">
      <w:pPr>
        <w:widowControl w:val="0"/>
        <w:spacing w:after="0"/>
        <w:contextualSpacing/>
        <w:jc w:val="both"/>
        <w:rPr>
          <w:rFonts w:ascii="Arial" w:eastAsia="Calibri" w:hAnsi="Arial" w:cs="Arial"/>
          <w:iCs/>
          <w:sz w:val="20"/>
          <w:szCs w:val="20"/>
          <w:lang w:val="en-GB"/>
          <w14:ligatures w14:val="none"/>
        </w:rPr>
      </w:pPr>
    </w:p>
    <w:p w14:paraId="326E2DA4" w14:textId="77777777" w:rsidR="00244C51" w:rsidRPr="003E09A6" w:rsidRDefault="00244C51" w:rsidP="00244C51">
      <w:pPr>
        <w:widowControl w:val="0"/>
        <w:spacing w:after="0"/>
        <w:contextualSpacing/>
        <w:jc w:val="both"/>
        <w:rPr>
          <w:rFonts w:ascii="Arial" w:eastAsia="Calibri" w:hAnsi="Arial" w:cs="Arial"/>
          <w:b/>
          <w:bCs/>
          <w:iCs/>
          <w:sz w:val="20"/>
          <w:szCs w:val="20"/>
          <w:lang w:val="en-GB"/>
          <w14:ligatures w14:val="none"/>
        </w:rPr>
      </w:pPr>
      <w:r w:rsidRPr="003E09A6">
        <w:rPr>
          <w:rFonts w:ascii="Arial" w:eastAsia="Calibri" w:hAnsi="Arial" w:cs="Arial"/>
          <w:b/>
          <w:bCs/>
          <w:iCs/>
          <w:sz w:val="20"/>
          <w:szCs w:val="20"/>
          <w:lang w:val="en-GB"/>
          <w14:ligatures w14:val="none"/>
        </w:rPr>
        <w:t>Bilateral and multilateral APAs</w:t>
      </w:r>
    </w:p>
    <w:p w14:paraId="47D9AE37" w14:textId="77777777" w:rsidR="00244C51" w:rsidRPr="003E09A6" w:rsidRDefault="00244C51" w:rsidP="00244C51">
      <w:pPr>
        <w:widowControl w:val="0"/>
        <w:spacing w:after="0"/>
        <w:contextualSpacing/>
        <w:jc w:val="both"/>
        <w:rPr>
          <w:rFonts w:ascii="Arial" w:eastAsia="Calibri" w:hAnsi="Arial" w:cs="Arial"/>
          <w:iCs/>
          <w:sz w:val="20"/>
          <w:szCs w:val="20"/>
          <w:lang w:val="en-GB"/>
          <w14:ligatures w14:val="none"/>
        </w:rPr>
      </w:pPr>
    </w:p>
    <w:p w14:paraId="04FD5252" w14:textId="77777777" w:rsidR="00244C51" w:rsidRPr="003E09A6" w:rsidRDefault="00244C51" w:rsidP="00244C51">
      <w:pPr>
        <w:widowControl w:val="0"/>
        <w:spacing w:after="0"/>
        <w:contextualSpacing/>
        <w:jc w:val="both"/>
        <w:rPr>
          <w:rFonts w:ascii="Arial" w:eastAsia="Calibri" w:hAnsi="Arial" w:cs="Arial"/>
          <w:iCs/>
          <w:sz w:val="20"/>
          <w:szCs w:val="20"/>
          <w:lang w:val="en-GB"/>
          <w14:ligatures w14:val="none"/>
        </w:rPr>
      </w:pPr>
      <w:r w:rsidRPr="003E09A6">
        <w:rPr>
          <w:rFonts w:ascii="Arial" w:eastAsia="Calibri" w:hAnsi="Arial" w:cs="Arial"/>
          <w:iCs/>
          <w:sz w:val="20"/>
          <w:szCs w:val="20"/>
          <w:lang w:val="en-GB"/>
          <w14:ligatures w14:val="none"/>
        </w:rPr>
        <w:t>The procedure clarifies interaction with foreign tax authorities and introduces greater flexibility:</w:t>
      </w:r>
    </w:p>
    <w:p w14:paraId="054BBB35" w14:textId="77777777" w:rsidR="00244C51" w:rsidRPr="003E09A6" w:rsidRDefault="00244C51" w:rsidP="00244C51">
      <w:pPr>
        <w:widowControl w:val="0"/>
        <w:numPr>
          <w:ilvl w:val="0"/>
          <w:numId w:val="15"/>
        </w:numPr>
        <w:spacing w:after="0" w:line="300" w:lineRule="exact"/>
        <w:contextualSpacing/>
        <w:jc w:val="both"/>
        <w:rPr>
          <w:rFonts w:ascii="Arial" w:eastAsia="Calibri" w:hAnsi="Arial" w:cs="Arial"/>
          <w:iCs/>
          <w:sz w:val="20"/>
          <w:szCs w:val="20"/>
          <w:lang w:val="en-GB"/>
          <w14:ligatures w14:val="none"/>
        </w:rPr>
      </w:pPr>
      <w:r w:rsidRPr="003E09A6">
        <w:rPr>
          <w:rFonts w:ascii="Arial" w:eastAsia="Calibri" w:hAnsi="Arial" w:cs="Arial"/>
          <w:iCs/>
          <w:sz w:val="20"/>
          <w:szCs w:val="20"/>
          <w:lang w:val="en-GB"/>
          <w14:ligatures w14:val="none"/>
        </w:rPr>
        <w:t>bilateral/multilateral applications may be converted into unilateral applications during the procedure</w:t>
      </w:r>
    </w:p>
    <w:p w14:paraId="45598232" w14:textId="77777777" w:rsidR="00244C51" w:rsidRPr="003E09A6" w:rsidRDefault="00244C51" w:rsidP="00244C51">
      <w:pPr>
        <w:widowControl w:val="0"/>
        <w:numPr>
          <w:ilvl w:val="0"/>
          <w:numId w:val="15"/>
        </w:numPr>
        <w:spacing w:after="0" w:line="300" w:lineRule="exact"/>
        <w:contextualSpacing/>
        <w:jc w:val="both"/>
        <w:rPr>
          <w:rFonts w:ascii="Arial" w:eastAsia="Calibri" w:hAnsi="Arial" w:cs="Arial"/>
          <w:iCs/>
          <w:sz w:val="20"/>
          <w:szCs w:val="20"/>
          <w:lang w:val="en-GB"/>
          <w14:ligatures w14:val="none"/>
        </w:rPr>
      </w:pPr>
      <w:r w:rsidRPr="003E09A6">
        <w:rPr>
          <w:rFonts w:ascii="Arial" w:eastAsia="Calibri" w:hAnsi="Arial" w:cs="Arial"/>
          <w:iCs/>
          <w:sz w:val="20"/>
          <w:szCs w:val="20"/>
          <w:lang w:val="en-GB"/>
          <w14:ligatures w14:val="none"/>
        </w:rPr>
        <w:t>an APA may only be issued or rejected after consultation with the relevant authorities;</w:t>
      </w:r>
    </w:p>
    <w:p w14:paraId="15E49CDF" w14:textId="77777777" w:rsidR="00244C51" w:rsidRPr="003E09A6" w:rsidRDefault="00244C51" w:rsidP="00244C51">
      <w:pPr>
        <w:widowControl w:val="0"/>
        <w:numPr>
          <w:ilvl w:val="0"/>
          <w:numId w:val="15"/>
        </w:numPr>
        <w:spacing w:after="0" w:line="300" w:lineRule="exact"/>
        <w:contextualSpacing/>
        <w:jc w:val="both"/>
        <w:rPr>
          <w:rFonts w:ascii="Arial" w:eastAsia="Calibri" w:hAnsi="Arial" w:cs="Arial"/>
          <w:iCs/>
          <w:sz w:val="20"/>
          <w:szCs w:val="20"/>
          <w:lang w:val="en-GB"/>
          <w14:ligatures w14:val="none"/>
        </w:rPr>
      </w:pPr>
      <w:r w:rsidRPr="003E09A6">
        <w:rPr>
          <w:rFonts w:ascii="Arial" w:eastAsia="Calibri" w:hAnsi="Arial" w:cs="Arial"/>
          <w:iCs/>
          <w:sz w:val="20"/>
          <w:szCs w:val="20"/>
          <w:lang w:val="en-GB"/>
          <w14:ligatures w14:val="none"/>
        </w:rPr>
        <w:t>in the event of an amendment or termination, consultations between the tax administrations become necessary</w:t>
      </w:r>
    </w:p>
    <w:p w14:paraId="7E62CF48" w14:textId="77777777" w:rsidR="00244C51" w:rsidRPr="003E09A6" w:rsidRDefault="00244C51" w:rsidP="00244C51">
      <w:pPr>
        <w:widowControl w:val="0"/>
        <w:spacing w:after="0"/>
        <w:contextualSpacing/>
        <w:jc w:val="both"/>
        <w:rPr>
          <w:rFonts w:ascii="Arial" w:eastAsia="Calibri" w:hAnsi="Arial" w:cs="Arial"/>
          <w:iCs/>
          <w:sz w:val="20"/>
          <w:szCs w:val="20"/>
          <w:lang w:val="en-GB"/>
          <w14:ligatures w14:val="none"/>
        </w:rPr>
      </w:pPr>
    </w:p>
    <w:p w14:paraId="7451D5B9" w14:textId="77777777" w:rsidR="0001493F" w:rsidRPr="003E09A6" w:rsidRDefault="0001493F" w:rsidP="0001493F">
      <w:pPr>
        <w:widowControl w:val="0"/>
        <w:spacing w:after="0"/>
        <w:contextualSpacing/>
        <w:jc w:val="both"/>
        <w:rPr>
          <w:rFonts w:ascii="Arial" w:eastAsia="Calibri" w:hAnsi="Arial" w:cs="Arial"/>
          <w:b/>
          <w:bCs/>
          <w:iCs/>
          <w:sz w:val="20"/>
          <w:szCs w:val="20"/>
          <w:lang w:val="en-GB"/>
          <w14:ligatures w14:val="none"/>
        </w:rPr>
      </w:pPr>
      <w:r w:rsidRPr="003E09A6">
        <w:rPr>
          <w:rFonts w:ascii="Arial" w:eastAsia="Calibri" w:hAnsi="Arial" w:cs="Arial"/>
          <w:b/>
          <w:bCs/>
          <w:iCs/>
          <w:sz w:val="20"/>
          <w:szCs w:val="20"/>
          <w:lang w:val="en-GB"/>
          <w14:ligatures w14:val="none"/>
        </w:rPr>
        <w:t>Annual APA monitoring</w:t>
      </w:r>
    </w:p>
    <w:p w14:paraId="028110BF" w14:textId="77777777" w:rsidR="0001493F" w:rsidRPr="003E09A6" w:rsidRDefault="0001493F" w:rsidP="0001493F">
      <w:pPr>
        <w:widowControl w:val="0"/>
        <w:spacing w:after="0"/>
        <w:contextualSpacing/>
        <w:jc w:val="both"/>
        <w:rPr>
          <w:rFonts w:ascii="Arial" w:eastAsia="Calibri" w:hAnsi="Arial" w:cs="Arial"/>
          <w:iCs/>
          <w:sz w:val="20"/>
          <w:szCs w:val="20"/>
          <w:lang w:val="en-GB"/>
          <w14:ligatures w14:val="none"/>
        </w:rPr>
      </w:pPr>
    </w:p>
    <w:p w14:paraId="2C6C30A7" w14:textId="77777777" w:rsidR="0001493F" w:rsidRPr="003E09A6" w:rsidRDefault="0001493F" w:rsidP="0001493F">
      <w:pPr>
        <w:widowControl w:val="0"/>
        <w:spacing w:after="0"/>
        <w:contextualSpacing/>
        <w:jc w:val="both"/>
        <w:rPr>
          <w:rFonts w:ascii="Arial" w:eastAsia="Calibri" w:hAnsi="Arial" w:cs="Arial"/>
          <w:iCs/>
          <w:sz w:val="20"/>
          <w:szCs w:val="20"/>
          <w:lang w:val="en-GB"/>
          <w14:ligatures w14:val="none"/>
        </w:rPr>
      </w:pPr>
      <w:r w:rsidRPr="003E09A6">
        <w:rPr>
          <w:rFonts w:ascii="Arial" w:eastAsia="Calibri" w:hAnsi="Arial" w:cs="Arial"/>
          <w:iCs/>
          <w:sz w:val="20"/>
          <w:szCs w:val="20"/>
          <w:lang w:val="en-GB"/>
          <w14:ligatures w14:val="none"/>
        </w:rPr>
        <w:t>Taxpayers benefiting from an advance pricing agreement are required to submit to the tax authority a report on the compliance with the terms and conditions underlying the issuance of the agreement depends.</w:t>
      </w:r>
    </w:p>
    <w:p w14:paraId="4D93322A" w14:textId="77777777" w:rsidR="0001493F" w:rsidRPr="003E09A6" w:rsidRDefault="0001493F" w:rsidP="0001493F">
      <w:pPr>
        <w:widowControl w:val="0"/>
        <w:spacing w:after="0"/>
        <w:contextualSpacing/>
        <w:jc w:val="both"/>
        <w:rPr>
          <w:rFonts w:ascii="Arial" w:eastAsia="Calibri" w:hAnsi="Arial" w:cs="Arial"/>
          <w:iCs/>
          <w:sz w:val="20"/>
          <w:szCs w:val="20"/>
          <w:lang w:val="en-GB"/>
          <w14:ligatures w14:val="none"/>
        </w:rPr>
      </w:pPr>
    </w:p>
    <w:p w14:paraId="22F84848" w14:textId="77777777" w:rsidR="0001493F" w:rsidRDefault="0001493F" w:rsidP="0001493F">
      <w:pPr>
        <w:widowControl w:val="0"/>
        <w:numPr>
          <w:ilvl w:val="0"/>
          <w:numId w:val="16"/>
        </w:numPr>
        <w:spacing w:after="0" w:line="300" w:lineRule="exact"/>
        <w:contextualSpacing/>
        <w:jc w:val="both"/>
        <w:rPr>
          <w:rFonts w:ascii="Arial" w:eastAsia="Calibri" w:hAnsi="Arial" w:cs="Arial"/>
          <w:iCs/>
          <w:sz w:val="20"/>
          <w:szCs w:val="20"/>
          <w:lang w:val="en-GB"/>
          <w14:ligatures w14:val="none"/>
        </w:rPr>
      </w:pPr>
      <w:r w:rsidRPr="003E09A6">
        <w:rPr>
          <w:rFonts w:ascii="Arial" w:eastAsia="Calibri" w:hAnsi="Arial" w:cs="Arial"/>
          <w:iCs/>
          <w:sz w:val="20"/>
          <w:szCs w:val="20"/>
          <w:lang w:val="en-GB"/>
          <w14:ligatures w14:val="none"/>
        </w:rPr>
        <w:t>For</w:t>
      </w:r>
      <w:r w:rsidRPr="003E09A6">
        <w:rPr>
          <w:rFonts w:ascii="Arial" w:eastAsia="Calibri" w:hAnsi="Arial" w:cs="Arial"/>
          <w:b/>
          <w:bCs/>
          <w:iCs/>
          <w:sz w:val="20"/>
          <w:szCs w:val="20"/>
          <w:lang w:val="en-GB"/>
          <w14:ligatures w14:val="none"/>
        </w:rPr>
        <w:t xml:space="preserve"> APAs covering future transactions</w:t>
      </w:r>
      <w:r w:rsidRPr="003E09A6">
        <w:rPr>
          <w:rFonts w:ascii="Arial" w:eastAsia="Calibri" w:hAnsi="Arial" w:cs="Arial"/>
          <w:iCs/>
          <w:sz w:val="20"/>
          <w:szCs w:val="20"/>
          <w:lang w:val="en-GB"/>
          <w14:ligatures w14:val="none"/>
        </w:rPr>
        <w:t xml:space="preserve"> – the report must be submitted annually, for each fiscal year included in the validity period of the agreement, by the deadline provided for in law</w:t>
      </w:r>
    </w:p>
    <w:p w14:paraId="21D4F567" w14:textId="77777777" w:rsidR="00853CB9" w:rsidRDefault="00853CB9" w:rsidP="00853CB9">
      <w:pPr>
        <w:widowControl w:val="0"/>
        <w:spacing w:after="0" w:line="300" w:lineRule="exact"/>
        <w:ind w:left="720"/>
        <w:contextualSpacing/>
        <w:jc w:val="both"/>
        <w:rPr>
          <w:rFonts w:ascii="Arial" w:eastAsia="Calibri" w:hAnsi="Arial" w:cs="Arial"/>
          <w:iCs/>
          <w:sz w:val="20"/>
          <w:szCs w:val="20"/>
          <w:lang w:val="en-GB"/>
          <w14:ligatures w14:val="none"/>
        </w:rPr>
      </w:pPr>
    </w:p>
    <w:p w14:paraId="36C22BC5" w14:textId="77777777" w:rsidR="00853CB9" w:rsidRPr="003E09A6" w:rsidRDefault="00853CB9" w:rsidP="00853CB9">
      <w:pPr>
        <w:widowControl w:val="0"/>
        <w:spacing w:after="0" w:line="300" w:lineRule="exact"/>
        <w:ind w:left="720"/>
        <w:contextualSpacing/>
        <w:jc w:val="both"/>
        <w:rPr>
          <w:rFonts w:ascii="Arial" w:eastAsia="Calibri" w:hAnsi="Arial" w:cs="Arial"/>
          <w:iCs/>
          <w:sz w:val="20"/>
          <w:szCs w:val="20"/>
          <w:lang w:val="en-GB"/>
          <w14:ligatures w14:val="none"/>
        </w:rPr>
      </w:pPr>
    </w:p>
    <w:p w14:paraId="29F9AF86" w14:textId="77777777" w:rsidR="0001493F" w:rsidRPr="003E09A6" w:rsidRDefault="0001493F" w:rsidP="0001493F">
      <w:pPr>
        <w:widowControl w:val="0"/>
        <w:spacing w:after="0"/>
        <w:ind w:left="720"/>
        <w:contextualSpacing/>
        <w:jc w:val="both"/>
        <w:rPr>
          <w:rFonts w:ascii="Arial" w:eastAsia="Calibri" w:hAnsi="Arial" w:cs="Arial"/>
          <w:iCs/>
          <w:sz w:val="20"/>
          <w:szCs w:val="20"/>
          <w:lang w:val="en-GB"/>
          <w14:ligatures w14:val="none"/>
        </w:rPr>
      </w:pPr>
    </w:p>
    <w:p w14:paraId="7081514C" w14:textId="77777777" w:rsidR="00C22B9E" w:rsidRDefault="00C22B9E" w:rsidP="00C22B9E">
      <w:pPr>
        <w:framePr w:hSpace="180" w:wrap="around" w:vAnchor="text" w:hAnchor="text" w:xAlign="right" w:y="1"/>
        <w:widowControl w:val="0"/>
        <w:numPr>
          <w:ilvl w:val="0"/>
          <w:numId w:val="16"/>
        </w:numPr>
        <w:spacing w:after="0" w:line="300" w:lineRule="exact"/>
        <w:contextualSpacing/>
        <w:suppressOverlap/>
        <w:jc w:val="both"/>
        <w:rPr>
          <w:rFonts w:ascii="Arial" w:eastAsia="Calibri" w:hAnsi="Arial" w:cs="Arial"/>
          <w:iCs/>
          <w:sz w:val="20"/>
          <w:szCs w:val="20"/>
          <w:lang w:val="en-GB"/>
          <w14:ligatures w14:val="none"/>
        </w:rPr>
      </w:pPr>
      <w:r w:rsidRPr="003E09A6">
        <w:rPr>
          <w:rFonts w:ascii="Arial" w:eastAsia="Calibri" w:hAnsi="Arial" w:cs="Arial"/>
          <w:iCs/>
          <w:sz w:val="20"/>
          <w:szCs w:val="20"/>
          <w:lang w:val="en-GB"/>
          <w14:ligatures w14:val="none"/>
        </w:rPr>
        <w:t>For</w:t>
      </w:r>
      <w:r w:rsidRPr="003E09A6">
        <w:rPr>
          <w:rFonts w:ascii="Arial" w:eastAsia="Calibri" w:hAnsi="Arial" w:cs="Arial"/>
          <w:b/>
          <w:bCs/>
          <w:iCs/>
          <w:sz w:val="20"/>
          <w:szCs w:val="20"/>
          <w:lang w:val="en-GB"/>
          <w14:ligatures w14:val="none"/>
        </w:rPr>
        <w:t xml:space="preserve"> APAs applying to prior periods (rollback)</w:t>
      </w:r>
      <w:r w:rsidRPr="003E09A6">
        <w:rPr>
          <w:rFonts w:ascii="Arial" w:eastAsia="Calibri" w:hAnsi="Arial" w:cs="Arial"/>
          <w:iCs/>
          <w:sz w:val="20"/>
          <w:szCs w:val="20"/>
          <w:lang w:val="en-GB"/>
          <w14:ligatures w14:val="none"/>
        </w:rPr>
        <w:t xml:space="preserve"> – the report must be submitted within 90 business days of communication of the approval order and must be prepared for each fiscal year covered by the agreement</w:t>
      </w:r>
      <w:r>
        <w:rPr>
          <w:rFonts w:ascii="Arial" w:eastAsia="Calibri" w:hAnsi="Arial" w:cs="Arial"/>
          <w:iCs/>
          <w:sz w:val="20"/>
          <w:szCs w:val="20"/>
          <w:lang w:val="en-GB"/>
          <w14:ligatures w14:val="none"/>
        </w:rPr>
        <w:t>.</w:t>
      </w:r>
    </w:p>
    <w:p w14:paraId="2C18BE75" w14:textId="77777777" w:rsidR="00C22B9E" w:rsidRDefault="00C22B9E" w:rsidP="00C22B9E">
      <w:pPr>
        <w:framePr w:hSpace="180" w:wrap="around" w:vAnchor="text" w:hAnchor="text" w:xAlign="right" w:y="1"/>
        <w:widowControl w:val="0"/>
        <w:spacing w:after="0" w:line="300" w:lineRule="exact"/>
        <w:contextualSpacing/>
        <w:suppressOverlap/>
        <w:jc w:val="both"/>
        <w:rPr>
          <w:rFonts w:ascii="Arial" w:eastAsia="Calibri" w:hAnsi="Arial" w:cs="Arial"/>
          <w:iCs/>
          <w:sz w:val="20"/>
          <w:szCs w:val="20"/>
          <w:lang w:val="en-GB"/>
          <w14:ligatures w14:val="none"/>
        </w:rPr>
      </w:pPr>
    </w:p>
    <w:p w14:paraId="621B274B" w14:textId="4C4F4D12" w:rsidR="00BD1D2E" w:rsidRPr="00402EC3" w:rsidRDefault="00C22B9E" w:rsidP="00C22B9E">
      <w:pPr>
        <w:widowControl w:val="0"/>
        <w:spacing w:after="0"/>
        <w:contextualSpacing/>
        <w:jc w:val="both"/>
        <w:rPr>
          <w:rFonts w:ascii="Arial" w:eastAsia="Calibri" w:hAnsi="Arial" w:cs="Arial"/>
          <w:iCs/>
          <w:color w:val="808080"/>
          <w:sz w:val="20"/>
          <w:szCs w:val="20"/>
          <w:lang w:val="en-GB"/>
          <w14:ligatures w14:val="none"/>
        </w:rPr>
      </w:pPr>
      <w:r w:rsidRPr="003E09A6">
        <w:rPr>
          <w:rFonts w:ascii="Arial" w:eastAsia="Calibri" w:hAnsi="Arial" w:cs="Arial"/>
          <w:i/>
          <w:iCs/>
          <w:color w:val="808080"/>
          <w:sz w:val="20"/>
          <w:szCs w:val="20"/>
          <w:lang w:val="en-GB"/>
          <w14:ligatures w14:val="none"/>
        </w:rPr>
        <w:t xml:space="preserve">Source: Order no. 827/2026 of the President of the National Agency for Fiscal Administration approving the Procedure for Issuing and Amending Advance Pricing Agreements, as well as the content of the application for the issuance and amendment of advance pricing agreements, as published on </w:t>
      </w:r>
      <w:r w:rsidRPr="003E09A6">
        <w:rPr>
          <w:rFonts w:ascii="Arial" w:eastAsia="Calibri" w:hAnsi="Arial" w:cs="Arial"/>
          <w:i/>
          <w:color w:val="808080"/>
          <w:sz w:val="20"/>
          <w:szCs w:val="20"/>
          <w:lang w:val="en-GB"/>
          <w14:ligatures w14:val="none"/>
        </w:rPr>
        <w:t>2 July 2026</w:t>
      </w:r>
    </w:p>
    <w:p w14:paraId="32629726" w14:textId="77777777" w:rsidR="00BD1D2E" w:rsidRDefault="00BD1D2E" w:rsidP="002160EC">
      <w:pPr>
        <w:widowControl w:val="0"/>
        <w:spacing w:after="0"/>
        <w:contextualSpacing/>
        <w:jc w:val="both"/>
        <w:rPr>
          <w:rFonts w:ascii="Arial" w:eastAsia="Calibri" w:hAnsi="Arial" w:cs="Arial"/>
          <w:i/>
          <w:iCs/>
          <w:sz w:val="20"/>
          <w:szCs w:val="20"/>
          <w:lang w:val="en-GB"/>
          <w14:ligatures w14:val="none"/>
        </w:rPr>
      </w:pPr>
    </w:p>
    <w:p w14:paraId="1FEC3FD3" w14:textId="77777777" w:rsidR="00853CB9" w:rsidRDefault="00853CB9" w:rsidP="002160EC">
      <w:pPr>
        <w:widowControl w:val="0"/>
        <w:spacing w:after="0"/>
        <w:contextualSpacing/>
        <w:jc w:val="both"/>
        <w:rPr>
          <w:rFonts w:ascii="Arial" w:eastAsia="Calibri" w:hAnsi="Arial" w:cs="Arial"/>
          <w:i/>
          <w:iCs/>
          <w:sz w:val="20"/>
          <w:szCs w:val="20"/>
          <w:lang w:val="en-GB"/>
          <w14:ligatures w14:val="none"/>
        </w:rPr>
      </w:pPr>
    </w:p>
    <w:p w14:paraId="11E3C119" w14:textId="77777777" w:rsidR="00CE1273" w:rsidRPr="00853CB9" w:rsidRDefault="00CE1273" w:rsidP="00CE1273">
      <w:pPr>
        <w:widowControl w:val="0"/>
        <w:numPr>
          <w:ilvl w:val="0"/>
          <w:numId w:val="11"/>
        </w:numPr>
        <w:spacing w:after="0" w:line="300" w:lineRule="exact"/>
        <w:contextualSpacing/>
        <w:jc w:val="both"/>
        <w:rPr>
          <w:rFonts w:ascii="Arial" w:eastAsia="Calibri" w:hAnsi="Arial" w:cs="Arial"/>
          <w:b/>
          <w:bCs/>
          <w:iCs/>
          <w:color w:val="005233"/>
          <w:sz w:val="22"/>
          <w:szCs w:val="22"/>
          <w:u w:val="single"/>
          <w:lang w:val="en-GB"/>
          <w14:ligatures w14:val="none"/>
        </w:rPr>
      </w:pPr>
      <w:proofErr w:type="gramStart"/>
      <w:r w:rsidRPr="00853CB9">
        <w:rPr>
          <w:rFonts w:ascii="Arial" w:eastAsia="Calibri" w:hAnsi="Arial" w:cs="Arial"/>
          <w:b/>
          <w:bCs/>
          <w:iCs/>
          <w:color w:val="005233"/>
          <w:sz w:val="22"/>
          <w:szCs w:val="22"/>
          <w:u w:val="single"/>
          <w:lang w:val="en-GB"/>
          <w14:ligatures w14:val="none"/>
        </w:rPr>
        <w:t>Mutual agreement</w:t>
      </w:r>
      <w:proofErr w:type="gramEnd"/>
      <w:r w:rsidRPr="00853CB9">
        <w:rPr>
          <w:rFonts w:ascii="Arial" w:eastAsia="Calibri" w:hAnsi="Arial" w:cs="Arial"/>
          <w:b/>
          <w:bCs/>
          <w:iCs/>
          <w:color w:val="005233"/>
          <w:sz w:val="22"/>
          <w:szCs w:val="22"/>
          <w:u w:val="single"/>
          <w:lang w:val="en-GB"/>
          <w14:ligatures w14:val="none"/>
        </w:rPr>
        <w:t xml:space="preserve"> procedure</w:t>
      </w:r>
    </w:p>
    <w:p w14:paraId="697393AD" w14:textId="77777777" w:rsidR="00CE1273" w:rsidRPr="003E09A6" w:rsidRDefault="00CE1273" w:rsidP="00CE1273">
      <w:pPr>
        <w:widowControl w:val="0"/>
        <w:spacing w:after="0"/>
        <w:contextualSpacing/>
        <w:jc w:val="both"/>
        <w:rPr>
          <w:rFonts w:ascii="Arial" w:eastAsia="Calibri" w:hAnsi="Arial" w:cs="Arial"/>
          <w:b/>
          <w:bCs/>
          <w:iCs/>
          <w:color w:val="9BBB59"/>
          <w:sz w:val="20"/>
          <w:szCs w:val="20"/>
          <w:lang w:val="en-GB"/>
          <w14:ligatures w14:val="none"/>
        </w:rPr>
      </w:pPr>
    </w:p>
    <w:p w14:paraId="11F54B83" w14:textId="77777777" w:rsidR="00CE1273" w:rsidRPr="003E09A6" w:rsidRDefault="00CE1273" w:rsidP="00CE1273">
      <w:pPr>
        <w:widowControl w:val="0"/>
        <w:spacing w:after="0"/>
        <w:contextualSpacing/>
        <w:jc w:val="both"/>
        <w:rPr>
          <w:rFonts w:ascii="Arial" w:eastAsia="Calibri" w:hAnsi="Arial" w:cs="Arial"/>
          <w:iCs/>
          <w:sz w:val="20"/>
          <w:szCs w:val="20"/>
          <w:lang w:val="en-GB"/>
          <w14:ligatures w14:val="none"/>
        </w:rPr>
      </w:pPr>
      <w:r w:rsidRPr="003E09A6">
        <w:rPr>
          <w:rFonts w:ascii="Arial" w:eastAsia="Calibri" w:hAnsi="Arial" w:cs="Arial"/>
          <w:iCs/>
          <w:sz w:val="20"/>
          <w:szCs w:val="20"/>
          <w:lang w:val="en-GB"/>
          <w14:ligatures w14:val="none"/>
        </w:rPr>
        <w:t xml:space="preserve">The Romanian tax authorities have published Order no. 660/2026 on the carrying out of the Mutual Agreement Procedure (MAP), which is applicable to requests submitted as of 16 June 2026. The main provisions of the Order are as follows:  </w:t>
      </w:r>
    </w:p>
    <w:p w14:paraId="0A5E9724" w14:textId="77777777" w:rsidR="00CE1273" w:rsidRPr="003E09A6" w:rsidRDefault="00CE1273" w:rsidP="00CE1273">
      <w:pPr>
        <w:widowControl w:val="0"/>
        <w:spacing w:after="0"/>
        <w:ind w:left="720"/>
        <w:contextualSpacing/>
        <w:jc w:val="both"/>
        <w:rPr>
          <w:rFonts w:ascii="Arial" w:eastAsia="Calibri" w:hAnsi="Arial" w:cs="Arial"/>
          <w:b/>
          <w:bCs/>
          <w:iCs/>
          <w:color w:val="9BBB59"/>
          <w:sz w:val="20"/>
          <w:szCs w:val="20"/>
          <w:lang w:val="en-GB"/>
          <w14:ligatures w14:val="none"/>
        </w:rPr>
      </w:pPr>
    </w:p>
    <w:p w14:paraId="69D8FC8B" w14:textId="77777777" w:rsidR="00CE1273" w:rsidRPr="003E09A6" w:rsidRDefault="00CE1273" w:rsidP="00CE1273">
      <w:pPr>
        <w:widowControl w:val="0"/>
        <w:numPr>
          <w:ilvl w:val="0"/>
          <w:numId w:val="17"/>
        </w:numPr>
        <w:spacing w:after="0" w:line="300" w:lineRule="exact"/>
        <w:contextualSpacing/>
        <w:jc w:val="both"/>
        <w:rPr>
          <w:rFonts w:ascii="Arial" w:eastAsia="Calibri" w:hAnsi="Arial" w:cs="Arial"/>
          <w:iCs/>
          <w:sz w:val="20"/>
          <w:szCs w:val="20"/>
          <w:lang w:val="en-GB"/>
          <w14:ligatures w14:val="none"/>
        </w:rPr>
      </w:pPr>
      <w:r w:rsidRPr="003E09A6">
        <w:rPr>
          <w:rFonts w:ascii="Arial" w:eastAsia="Calibri" w:hAnsi="Arial" w:cs="Arial"/>
          <w:iCs/>
          <w:sz w:val="20"/>
          <w:szCs w:val="20"/>
          <w:lang w:val="en-GB"/>
          <w14:ligatures w14:val="none"/>
        </w:rPr>
        <w:t>The deadline for submitting an MAP request is three years from the communication of the tax administrative act or any other notification resulting in taxation that is not in accordance with the provisions of the applicable tax treaty. Where the applicable double tax treaty provides for a shorter deadline, this period is extended to three years.</w:t>
      </w:r>
    </w:p>
    <w:p w14:paraId="445D50BD" w14:textId="77777777" w:rsidR="00CE1273" w:rsidRPr="003E09A6" w:rsidRDefault="00CE1273" w:rsidP="00CE1273">
      <w:pPr>
        <w:widowControl w:val="0"/>
        <w:spacing w:after="0"/>
        <w:ind w:left="360"/>
        <w:contextualSpacing/>
        <w:jc w:val="both"/>
        <w:rPr>
          <w:rFonts w:ascii="Arial" w:eastAsia="Calibri" w:hAnsi="Arial" w:cs="Arial"/>
          <w:iCs/>
          <w:sz w:val="20"/>
          <w:szCs w:val="20"/>
          <w:lang w:val="en-GB"/>
          <w14:ligatures w14:val="none"/>
        </w:rPr>
      </w:pPr>
    </w:p>
    <w:p w14:paraId="4AEF403F" w14:textId="77777777" w:rsidR="00CE1273" w:rsidRPr="003E09A6" w:rsidRDefault="00CE1273" w:rsidP="00CE1273">
      <w:pPr>
        <w:widowControl w:val="0"/>
        <w:numPr>
          <w:ilvl w:val="0"/>
          <w:numId w:val="17"/>
        </w:numPr>
        <w:spacing w:after="0" w:line="300" w:lineRule="exact"/>
        <w:contextualSpacing/>
        <w:jc w:val="both"/>
        <w:rPr>
          <w:rFonts w:ascii="Arial" w:eastAsia="Calibri" w:hAnsi="Arial" w:cs="Arial"/>
          <w:iCs/>
          <w:sz w:val="20"/>
          <w:szCs w:val="20"/>
          <w:lang w:val="en-GB"/>
          <w14:ligatures w14:val="none"/>
        </w:rPr>
      </w:pPr>
      <w:r w:rsidRPr="003E09A6">
        <w:rPr>
          <w:rFonts w:ascii="Arial" w:eastAsia="Calibri" w:hAnsi="Arial" w:cs="Arial"/>
          <w:iCs/>
          <w:sz w:val="20"/>
          <w:szCs w:val="20"/>
          <w:lang w:val="en-GB"/>
          <w14:ligatures w14:val="none"/>
        </w:rPr>
        <w:t xml:space="preserve">The MAP request must contain detailed information regarding the persons and jurisdictions involved, the tax periods and amounts under dispute, the circumstances of the case, the treaty provisions deemed to have been breached and the taxpayer’s position. In transfer pricing cases, additional information is required regarding the transactions concerned, as well as the functions, risks and assets of the parties involved. </w:t>
      </w:r>
    </w:p>
    <w:p w14:paraId="578085B4" w14:textId="77777777" w:rsidR="00CE1273" w:rsidRPr="003E09A6" w:rsidRDefault="00CE1273" w:rsidP="00CE1273">
      <w:pPr>
        <w:widowControl w:val="0"/>
        <w:spacing w:after="0"/>
        <w:contextualSpacing/>
        <w:jc w:val="both"/>
        <w:rPr>
          <w:rFonts w:ascii="Arial" w:eastAsia="Calibri" w:hAnsi="Arial" w:cs="Arial"/>
          <w:iCs/>
          <w:sz w:val="20"/>
          <w:szCs w:val="20"/>
          <w:lang w:val="en-GB"/>
          <w14:ligatures w14:val="none"/>
        </w:rPr>
      </w:pPr>
      <w:r w:rsidRPr="003E09A6">
        <w:rPr>
          <w:rFonts w:ascii="Arial" w:eastAsia="Calibri" w:hAnsi="Arial" w:cs="Arial"/>
          <w:iCs/>
          <w:sz w:val="20"/>
          <w:szCs w:val="20"/>
          <w:lang w:val="en-GB"/>
          <w14:ligatures w14:val="none"/>
        </w:rPr>
        <w:t xml:space="preserve"> </w:t>
      </w:r>
    </w:p>
    <w:p w14:paraId="78963BE7" w14:textId="77777777" w:rsidR="00CE1273" w:rsidRPr="003E09A6" w:rsidRDefault="00CE1273" w:rsidP="00CE1273">
      <w:pPr>
        <w:widowControl w:val="0"/>
        <w:numPr>
          <w:ilvl w:val="0"/>
          <w:numId w:val="17"/>
        </w:numPr>
        <w:spacing w:after="0" w:line="300" w:lineRule="exact"/>
        <w:contextualSpacing/>
        <w:jc w:val="both"/>
        <w:rPr>
          <w:rFonts w:ascii="Arial" w:eastAsia="Calibri" w:hAnsi="Arial" w:cs="Arial"/>
          <w:iCs/>
          <w:sz w:val="20"/>
          <w:szCs w:val="20"/>
          <w:lang w:val="en-GB"/>
          <w14:ligatures w14:val="none"/>
        </w:rPr>
      </w:pPr>
      <w:r w:rsidRPr="003E09A6">
        <w:rPr>
          <w:rFonts w:ascii="Arial" w:eastAsia="Calibri" w:hAnsi="Arial" w:cs="Arial"/>
          <w:iCs/>
          <w:sz w:val="20"/>
          <w:szCs w:val="20"/>
          <w:lang w:val="en-GB"/>
          <w14:ligatures w14:val="none"/>
        </w:rPr>
        <w:t xml:space="preserve">The documentation must be submitted electronically via the SPV account in both PDF and editable formats, in Romanian and English. A copy of the request must be submitted simultaneously to the relevant authorities in the other jurisdictions involved. </w:t>
      </w:r>
    </w:p>
    <w:p w14:paraId="3685143D" w14:textId="77777777" w:rsidR="00CE1273" w:rsidRPr="003E09A6" w:rsidRDefault="00CE1273" w:rsidP="00CE1273">
      <w:pPr>
        <w:widowControl w:val="0"/>
        <w:spacing w:after="0"/>
        <w:contextualSpacing/>
        <w:jc w:val="both"/>
        <w:rPr>
          <w:rFonts w:ascii="Arial" w:eastAsia="Calibri" w:hAnsi="Arial" w:cs="Arial"/>
          <w:iCs/>
          <w:sz w:val="20"/>
          <w:szCs w:val="20"/>
          <w:lang w:val="en-GB"/>
          <w14:ligatures w14:val="none"/>
        </w:rPr>
      </w:pPr>
    </w:p>
    <w:p w14:paraId="2A6643CD" w14:textId="77777777" w:rsidR="00CE1273" w:rsidRPr="003E09A6" w:rsidRDefault="00CE1273" w:rsidP="00CE1273">
      <w:pPr>
        <w:widowControl w:val="0"/>
        <w:numPr>
          <w:ilvl w:val="0"/>
          <w:numId w:val="17"/>
        </w:numPr>
        <w:spacing w:after="0" w:line="300" w:lineRule="exact"/>
        <w:contextualSpacing/>
        <w:jc w:val="both"/>
        <w:rPr>
          <w:rFonts w:ascii="Arial" w:eastAsia="Calibri" w:hAnsi="Arial" w:cs="Arial"/>
          <w:iCs/>
          <w:sz w:val="20"/>
          <w:szCs w:val="20"/>
          <w:lang w:val="en-GB"/>
          <w14:ligatures w14:val="none"/>
        </w:rPr>
      </w:pPr>
      <w:r w:rsidRPr="003E09A6">
        <w:rPr>
          <w:rFonts w:ascii="Arial" w:eastAsia="Calibri" w:hAnsi="Arial" w:cs="Arial"/>
          <w:iCs/>
          <w:sz w:val="20"/>
          <w:szCs w:val="20"/>
          <w:lang w:val="en-GB"/>
          <w14:ligatures w14:val="none"/>
        </w:rPr>
        <w:t>The tax authorities may request additional information and supporting documents during the review of the request and, depending on the circumstances of the case, meetings with the taxpayer may be scheduled to clarify the relevant details.</w:t>
      </w:r>
    </w:p>
    <w:p w14:paraId="3043C892" w14:textId="77777777" w:rsidR="00CE1273" w:rsidRPr="003E09A6" w:rsidRDefault="00CE1273" w:rsidP="00CE1273">
      <w:pPr>
        <w:widowControl w:val="0"/>
        <w:spacing w:after="0"/>
        <w:ind w:left="360"/>
        <w:contextualSpacing/>
        <w:jc w:val="both"/>
        <w:rPr>
          <w:rFonts w:ascii="Arial" w:eastAsia="Calibri" w:hAnsi="Arial" w:cs="Arial"/>
          <w:iCs/>
          <w:sz w:val="20"/>
          <w:szCs w:val="20"/>
          <w:lang w:val="en-GB"/>
          <w14:ligatures w14:val="none"/>
        </w:rPr>
      </w:pPr>
      <w:r w:rsidRPr="003E09A6">
        <w:rPr>
          <w:rFonts w:ascii="Arial" w:eastAsia="Calibri" w:hAnsi="Arial" w:cs="Arial"/>
          <w:iCs/>
          <w:sz w:val="20"/>
          <w:szCs w:val="20"/>
          <w:lang w:val="en-GB"/>
          <w14:ligatures w14:val="none"/>
        </w:rPr>
        <w:t xml:space="preserve"> </w:t>
      </w:r>
    </w:p>
    <w:p w14:paraId="33724C40" w14:textId="77777777" w:rsidR="00CE1273" w:rsidRPr="003E09A6" w:rsidRDefault="00CE1273" w:rsidP="00CE1273">
      <w:pPr>
        <w:widowControl w:val="0"/>
        <w:numPr>
          <w:ilvl w:val="0"/>
          <w:numId w:val="17"/>
        </w:numPr>
        <w:spacing w:after="0" w:line="300" w:lineRule="exact"/>
        <w:contextualSpacing/>
        <w:jc w:val="both"/>
        <w:rPr>
          <w:rFonts w:ascii="Arial" w:eastAsia="Calibri" w:hAnsi="Arial" w:cs="Arial"/>
          <w:iCs/>
          <w:sz w:val="20"/>
          <w:szCs w:val="20"/>
          <w:lang w:val="en-GB"/>
          <w14:ligatures w14:val="none"/>
        </w:rPr>
      </w:pPr>
      <w:r w:rsidRPr="003E09A6">
        <w:rPr>
          <w:rFonts w:ascii="Arial" w:eastAsia="Calibri" w:hAnsi="Arial" w:cs="Arial"/>
          <w:iCs/>
          <w:sz w:val="20"/>
          <w:szCs w:val="20"/>
          <w:lang w:val="en-GB"/>
          <w14:ligatures w14:val="none"/>
        </w:rPr>
        <w:t xml:space="preserve">The implementation of the solution agreed under the MAP is subject to the taxpayer’s written consent and the withdrawal of any administrative or judicial remedies relating to the contested tax administrative acts. Where administrative appeals or court proceedings are pending, the taxpayer must provide evidence of their definitive withdrawal within 60 days of the date of communication of the MAP decision. Otherwise, the MAP solution will not become binding. </w:t>
      </w:r>
    </w:p>
    <w:p w14:paraId="42E40A77" w14:textId="77777777" w:rsidR="00CE1273" w:rsidRPr="003E09A6" w:rsidRDefault="00CE1273" w:rsidP="00CE1273">
      <w:pPr>
        <w:widowControl w:val="0"/>
        <w:spacing w:after="0"/>
        <w:contextualSpacing/>
        <w:jc w:val="both"/>
        <w:rPr>
          <w:rFonts w:ascii="Arial" w:eastAsia="Calibri" w:hAnsi="Arial" w:cs="Arial"/>
          <w:iCs/>
          <w:sz w:val="20"/>
          <w:szCs w:val="20"/>
          <w:lang w:val="en-GB"/>
          <w14:ligatures w14:val="none"/>
        </w:rPr>
      </w:pPr>
    </w:p>
    <w:p w14:paraId="4172618E" w14:textId="77777777" w:rsidR="00CE1273" w:rsidRPr="003E09A6" w:rsidRDefault="00CE1273" w:rsidP="00CE1273">
      <w:pPr>
        <w:widowControl w:val="0"/>
        <w:numPr>
          <w:ilvl w:val="0"/>
          <w:numId w:val="17"/>
        </w:numPr>
        <w:spacing w:after="0" w:line="300" w:lineRule="exact"/>
        <w:contextualSpacing/>
        <w:jc w:val="both"/>
        <w:rPr>
          <w:rFonts w:ascii="Arial" w:eastAsia="Calibri" w:hAnsi="Arial" w:cs="Arial"/>
          <w:iCs/>
          <w:sz w:val="20"/>
          <w:szCs w:val="20"/>
          <w:lang w:val="en-GB"/>
          <w14:ligatures w14:val="none"/>
        </w:rPr>
      </w:pPr>
      <w:r w:rsidRPr="003E09A6">
        <w:rPr>
          <w:rFonts w:ascii="Arial" w:eastAsia="Calibri" w:hAnsi="Arial" w:cs="Arial"/>
          <w:iCs/>
          <w:sz w:val="20"/>
          <w:szCs w:val="20"/>
          <w:lang w:val="en-GB"/>
          <w14:ligatures w14:val="none"/>
        </w:rPr>
        <w:t xml:space="preserve">Where provided for within the applicable legal framework, including under the EU Arbitration Convention (90/436/EEC), the taxpayer may request the initiation of an arbitration procedure if the competent authorities fail to reach an agreement. </w:t>
      </w:r>
    </w:p>
    <w:p w14:paraId="30A06431" w14:textId="77777777" w:rsidR="00CE1273" w:rsidRDefault="00CE1273" w:rsidP="002160EC">
      <w:pPr>
        <w:widowControl w:val="0"/>
        <w:spacing w:after="0"/>
        <w:contextualSpacing/>
        <w:jc w:val="both"/>
        <w:rPr>
          <w:rFonts w:ascii="Arial" w:eastAsia="Calibri" w:hAnsi="Arial" w:cs="Arial"/>
          <w:sz w:val="20"/>
          <w:szCs w:val="20"/>
          <w:lang w:val="en-GB"/>
          <w14:ligatures w14:val="none"/>
        </w:rPr>
      </w:pPr>
    </w:p>
    <w:p w14:paraId="50E7F411" w14:textId="77777777" w:rsidR="00033843" w:rsidRPr="003E09A6" w:rsidRDefault="00033843" w:rsidP="00033843">
      <w:pPr>
        <w:widowControl w:val="0"/>
        <w:numPr>
          <w:ilvl w:val="0"/>
          <w:numId w:val="17"/>
        </w:numPr>
        <w:spacing w:after="0" w:line="300" w:lineRule="exact"/>
        <w:contextualSpacing/>
        <w:jc w:val="both"/>
        <w:rPr>
          <w:rFonts w:ascii="Arial" w:eastAsia="Calibri" w:hAnsi="Arial" w:cs="Arial"/>
          <w:iCs/>
          <w:sz w:val="20"/>
          <w:szCs w:val="20"/>
          <w:lang w:val="en-GB"/>
          <w14:ligatures w14:val="none"/>
        </w:rPr>
      </w:pPr>
      <w:r w:rsidRPr="003E09A6">
        <w:rPr>
          <w:rFonts w:ascii="Arial" w:eastAsia="Calibri" w:hAnsi="Arial" w:cs="Arial"/>
          <w:iCs/>
          <w:sz w:val="20"/>
          <w:szCs w:val="20"/>
          <w:lang w:val="en-GB"/>
          <w14:ligatures w14:val="none"/>
        </w:rPr>
        <w:t xml:space="preserve">Decisions adopted under the MAP or arbitration procedures are implemented regardless of statutory limitation periods and prevail over previously issued tax administrative acts that resulted in taxation that is not in accordance with the applicable tax treaty.  </w:t>
      </w:r>
    </w:p>
    <w:p w14:paraId="6D8B0BD0" w14:textId="77777777" w:rsidR="00033843" w:rsidRPr="003E09A6" w:rsidRDefault="00033843" w:rsidP="00033843">
      <w:pPr>
        <w:widowControl w:val="0"/>
        <w:spacing w:after="0"/>
        <w:contextualSpacing/>
        <w:jc w:val="both"/>
        <w:rPr>
          <w:rFonts w:ascii="Arial" w:eastAsia="Calibri" w:hAnsi="Arial" w:cs="Arial"/>
          <w:iCs/>
          <w:sz w:val="20"/>
          <w:szCs w:val="20"/>
          <w:lang w:val="en-GB"/>
          <w14:ligatures w14:val="none"/>
        </w:rPr>
      </w:pPr>
    </w:p>
    <w:p w14:paraId="0A510A06" w14:textId="77777777" w:rsidR="00033843" w:rsidRDefault="00033843" w:rsidP="00033843">
      <w:pPr>
        <w:widowControl w:val="0"/>
        <w:spacing w:after="0"/>
        <w:contextualSpacing/>
        <w:jc w:val="both"/>
        <w:rPr>
          <w:rFonts w:ascii="Arial" w:eastAsia="Calibri" w:hAnsi="Arial" w:cs="Arial"/>
          <w:i/>
          <w:iCs/>
          <w:sz w:val="20"/>
          <w:szCs w:val="20"/>
          <w:lang w:val="en-GB"/>
          <w14:ligatures w14:val="none"/>
        </w:rPr>
      </w:pPr>
      <w:r w:rsidRPr="003E09A6">
        <w:rPr>
          <w:rFonts w:ascii="Arial" w:eastAsia="Calibri" w:hAnsi="Arial" w:cs="Arial"/>
          <w:i/>
          <w:color w:val="808080"/>
          <w:sz w:val="20"/>
          <w:szCs w:val="20"/>
          <w:lang w:val="en-GB"/>
          <w14:ligatures w14:val="none"/>
        </w:rPr>
        <w:t>Source: Order no. 660/2026 on the carrying out of the Mutual Agreement Procedure, as published on 16 June 2026</w:t>
      </w:r>
      <w:r w:rsidRPr="003E09A6">
        <w:rPr>
          <w:rFonts w:ascii="Arial" w:eastAsia="Calibri" w:hAnsi="Arial" w:cs="Arial"/>
          <w:i/>
          <w:iCs/>
          <w:sz w:val="20"/>
          <w:szCs w:val="20"/>
          <w:lang w:val="en-GB"/>
          <w14:ligatures w14:val="none"/>
        </w:rPr>
        <w:t>.</w:t>
      </w:r>
    </w:p>
    <w:p w14:paraId="6405D364" w14:textId="77777777" w:rsidR="00853CB9" w:rsidRPr="003E09A6" w:rsidRDefault="00853CB9" w:rsidP="00033843">
      <w:pPr>
        <w:widowControl w:val="0"/>
        <w:spacing w:after="0"/>
        <w:contextualSpacing/>
        <w:jc w:val="both"/>
        <w:rPr>
          <w:rFonts w:ascii="Arial" w:eastAsia="Calibri" w:hAnsi="Arial" w:cs="Arial"/>
          <w:iCs/>
          <w:sz w:val="20"/>
          <w:szCs w:val="20"/>
          <w:lang w:val="en-GB"/>
          <w14:ligatures w14:val="none"/>
        </w:rPr>
      </w:pPr>
    </w:p>
    <w:p w14:paraId="61FA4B8A" w14:textId="77777777" w:rsidR="00033843" w:rsidRPr="003E09A6" w:rsidRDefault="00033843" w:rsidP="00033843">
      <w:pPr>
        <w:widowControl w:val="0"/>
        <w:spacing w:after="0"/>
        <w:contextualSpacing/>
        <w:jc w:val="both"/>
        <w:rPr>
          <w:rFonts w:ascii="Arial" w:eastAsia="Calibri" w:hAnsi="Arial" w:cs="Arial"/>
          <w:i/>
          <w:color w:val="808080"/>
          <w:sz w:val="20"/>
          <w:szCs w:val="20"/>
          <w:lang w:val="en-GB"/>
          <w14:ligatures w14:val="none"/>
        </w:rPr>
      </w:pPr>
    </w:p>
    <w:p w14:paraId="5A30D249" w14:textId="77777777" w:rsidR="00033843" w:rsidRPr="00853CB9" w:rsidRDefault="00033843" w:rsidP="00033843">
      <w:pPr>
        <w:widowControl w:val="0"/>
        <w:numPr>
          <w:ilvl w:val="0"/>
          <w:numId w:val="11"/>
        </w:numPr>
        <w:spacing w:after="0" w:line="300" w:lineRule="exact"/>
        <w:contextualSpacing/>
        <w:jc w:val="both"/>
        <w:rPr>
          <w:rFonts w:ascii="Arial" w:eastAsia="Calibri" w:hAnsi="Arial" w:cs="Arial"/>
          <w:b/>
          <w:bCs/>
          <w:color w:val="005233"/>
          <w:sz w:val="22"/>
          <w:szCs w:val="22"/>
          <w:u w:val="single"/>
          <w:lang w:val="en-GB"/>
          <w14:ligatures w14:val="none"/>
        </w:rPr>
      </w:pPr>
      <w:r w:rsidRPr="00853CB9">
        <w:rPr>
          <w:rFonts w:ascii="Arial" w:eastAsia="Calibri" w:hAnsi="Arial" w:cs="Arial"/>
          <w:b/>
          <w:bCs/>
          <w:color w:val="005233"/>
          <w:sz w:val="22"/>
          <w:szCs w:val="22"/>
          <w:u w:val="single"/>
          <w:lang w:val="en-GB"/>
          <w14:ligatures w14:val="none"/>
        </w:rPr>
        <w:t>The procedure governing the holding of meetings between the central tax authority and taxpayers using remote video communication tools</w:t>
      </w:r>
    </w:p>
    <w:p w14:paraId="1E001C9A" w14:textId="77777777" w:rsidR="00033843" w:rsidRPr="003E09A6" w:rsidRDefault="00033843" w:rsidP="00033843">
      <w:pPr>
        <w:widowControl w:val="0"/>
        <w:spacing w:after="0"/>
        <w:ind w:left="1399"/>
        <w:contextualSpacing/>
        <w:jc w:val="both"/>
        <w:rPr>
          <w:rFonts w:ascii="Arial" w:eastAsia="Calibri" w:hAnsi="Arial" w:cs="Arial"/>
          <w:b/>
          <w:bCs/>
          <w:color w:val="76923C"/>
          <w:sz w:val="20"/>
          <w:szCs w:val="20"/>
          <w:lang w:val="en-GB"/>
          <w14:ligatures w14:val="none"/>
        </w:rPr>
      </w:pPr>
    </w:p>
    <w:p w14:paraId="055610DF" w14:textId="77777777" w:rsidR="00033843" w:rsidRPr="003E09A6" w:rsidRDefault="00033843" w:rsidP="00033843">
      <w:pPr>
        <w:widowControl w:val="0"/>
        <w:spacing w:after="0"/>
        <w:contextualSpacing/>
        <w:jc w:val="both"/>
        <w:rPr>
          <w:rFonts w:ascii="Arial" w:eastAsia="Calibri" w:hAnsi="Arial" w:cs="Arial"/>
          <w:sz w:val="20"/>
          <w:szCs w:val="20"/>
          <w:lang w:val="en-GB"/>
          <w14:ligatures w14:val="none"/>
        </w:rPr>
      </w:pPr>
      <w:r w:rsidRPr="003E09A6">
        <w:rPr>
          <w:rFonts w:ascii="Arial" w:eastAsia="Calibri" w:hAnsi="Arial" w:cs="Arial"/>
          <w:sz w:val="20"/>
          <w:szCs w:val="20"/>
          <w:lang w:val="en-GB"/>
          <w14:ligatures w14:val="none"/>
        </w:rPr>
        <w:t>The Romanian tax authorities have published the procedure governing the holding of meetings between the central tax authority and taxpayers using remote video communication tools. The main provisions of the procedure are outlined below.</w:t>
      </w:r>
    </w:p>
    <w:p w14:paraId="51D1F515" w14:textId="77777777" w:rsidR="00033843" w:rsidRPr="003E09A6" w:rsidRDefault="00033843" w:rsidP="00033843">
      <w:pPr>
        <w:widowControl w:val="0"/>
        <w:spacing w:after="0"/>
        <w:contextualSpacing/>
        <w:jc w:val="both"/>
        <w:rPr>
          <w:rFonts w:ascii="Arial" w:eastAsia="Calibri" w:hAnsi="Arial" w:cs="Arial"/>
          <w:sz w:val="20"/>
          <w:szCs w:val="20"/>
          <w:lang w:val="en-GB"/>
          <w14:ligatures w14:val="none"/>
        </w:rPr>
      </w:pPr>
    </w:p>
    <w:p w14:paraId="432B3A0E" w14:textId="77777777" w:rsidR="00414D16" w:rsidRPr="003E09A6" w:rsidRDefault="00414D16" w:rsidP="00414D16">
      <w:pPr>
        <w:widowControl w:val="0"/>
        <w:numPr>
          <w:ilvl w:val="0"/>
          <w:numId w:val="18"/>
        </w:numPr>
        <w:spacing w:after="0" w:line="300" w:lineRule="exact"/>
        <w:contextualSpacing/>
        <w:jc w:val="both"/>
        <w:rPr>
          <w:rFonts w:ascii="Arial" w:eastAsia="Calibri" w:hAnsi="Arial" w:cs="Arial"/>
          <w:sz w:val="20"/>
          <w:szCs w:val="20"/>
          <w:lang w:val="en-GB"/>
          <w14:ligatures w14:val="none"/>
        </w:rPr>
      </w:pPr>
      <w:r w:rsidRPr="003E09A6">
        <w:rPr>
          <w:rFonts w:ascii="Arial" w:eastAsia="Calibri" w:hAnsi="Arial" w:cs="Arial"/>
          <w:sz w:val="20"/>
          <w:szCs w:val="20"/>
          <w:lang w:val="en-GB"/>
          <w14:ligatures w14:val="none"/>
        </w:rPr>
        <w:t>The tax authority informs the taxpayer, through the SPV account, about the possibility of conducting certain tax procedures via videoconferencing, as well as the date and time of the meeting. The option to use this format must be exercised within two working days of the date of communication. Otherwise, the taxpayer will be deemed not to have opted for the videoconferencing format.</w:t>
      </w:r>
    </w:p>
    <w:p w14:paraId="6C5F0AB1" w14:textId="77777777" w:rsidR="00414D16" w:rsidRPr="003E09A6" w:rsidRDefault="00414D16" w:rsidP="00414D16">
      <w:pPr>
        <w:widowControl w:val="0"/>
        <w:spacing w:after="0"/>
        <w:ind w:left="360"/>
        <w:contextualSpacing/>
        <w:jc w:val="both"/>
        <w:rPr>
          <w:rFonts w:ascii="Arial" w:eastAsia="Calibri" w:hAnsi="Arial" w:cs="Arial"/>
          <w:sz w:val="20"/>
          <w:szCs w:val="20"/>
          <w:lang w:val="en-GB"/>
          <w14:ligatures w14:val="none"/>
        </w:rPr>
      </w:pPr>
    </w:p>
    <w:p w14:paraId="152A1FD0" w14:textId="77777777" w:rsidR="00414D16" w:rsidRPr="003E09A6" w:rsidRDefault="00414D16" w:rsidP="00414D16">
      <w:pPr>
        <w:widowControl w:val="0"/>
        <w:numPr>
          <w:ilvl w:val="0"/>
          <w:numId w:val="18"/>
        </w:numPr>
        <w:spacing w:after="0" w:line="300" w:lineRule="exact"/>
        <w:contextualSpacing/>
        <w:jc w:val="both"/>
        <w:rPr>
          <w:rFonts w:ascii="Arial" w:eastAsia="Calibri" w:hAnsi="Arial" w:cs="Arial"/>
          <w:sz w:val="20"/>
          <w:szCs w:val="20"/>
          <w:lang w:val="en-GB"/>
          <w14:ligatures w14:val="none"/>
        </w:rPr>
      </w:pPr>
      <w:r w:rsidRPr="003E09A6">
        <w:rPr>
          <w:rFonts w:ascii="Arial" w:eastAsia="Calibri" w:hAnsi="Arial" w:cs="Arial"/>
          <w:sz w:val="20"/>
          <w:szCs w:val="20"/>
          <w:lang w:val="en-GB"/>
          <w14:ligatures w14:val="none"/>
        </w:rPr>
        <w:t>The taxpayer may refuse to participate or request the postponement of a meeting, subject to the conditions provided for in law. In the case of hearing procedures, an explicit refusal to participate in the scheduled meeting results in the hearing procedure being deemed fulfilled.</w:t>
      </w:r>
    </w:p>
    <w:p w14:paraId="0C133D9E" w14:textId="77777777" w:rsidR="00414D16" w:rsidRPr="003E09A6" w:rsidRDefault="00414D16" w:rsidP="00414D16">
      <w:pPr>
        <w:widowControl w:val="0"/>
        <w:spacing w:after="0"/>
        <w:ind w:left="360"/>
        <w:contextualSpacing/>
        <w:jc w:val="both"/>
        <w:rPr>
          <w:rFonts w:ascii="Arial" w:eastAsia="Calibri" w:hAnsi="Arial" w:cs="Arial"/>
          <w:sz w:val="20"/>
          <w:szCs w:val="20"/>
          <w:lang w:val="en-GB"/>
          <w14:ligatures w14:val="none"/>
        </w:rPr>
      </w:pPr>
    </w:p>
    <w:p w14:paraId="592F7BB6" w14:textId="77777777" w:rsidR="00414D16" w:rsidRPr="003E09A6" w:rsidRDefault="00414D16" w:rsidP="00414D16">
      <w:pPr>
        <w:widowControl w:val="0"/>
        <w:numPr>
          <w:ilvl w:val="0"/>
          <w:numId w:val="18"/>
        </w:numPr>
        <w:spacing w:after="0" w:line="300" w:lineRule="exact"/>
        <w:contextualSpacing/>
        <w:jc w:val="both"/>
        <w:rPr>
          <w:rFonts w:ascii="Arial" w:eastAsia="Calibri" w:hAnsi="Arial" w:cs="Arial"/>
          <w:sz w:val="20"/>
          <w:szCs w:val="20"/>
          <w:lang w:val="en-GB"/>
          <w14:ligatures w14:val="none"/>
        </w:rPr>
      </w:pPr>
      <w:r w:rsidRPr="003E09A6">
        <w:rPr>
          <w:rFonts w:ascii="Arial" w:eastAsia="Calibri" w:hAnsi="Arial" w:cs="Arial"/>
          <w:sz w:val="20"/>
          <w:szCs w:val="20"/>
          <w:lang w:val="en-GB"/>
          <w14:ligatures w14:val="none"/>
        </w:rPr>
        <w:t>Videoconference meetings may be held for tax audits (including opening meetings, audit proceedings and final discussions), tax status verifications, hearings, audience meetings and mediation procedures, as well as other procedures established by the tax authority.</w:t>
      </w:r>
    </w:p>
    <w:p w14:paraId="0DA9E07E" w14:textId="77777777" w:rsidR="00414D16" w:rsidRPr="003E09A6" w:rsidRDefault="00414D16" w:rsidP="00414D16">
      <w:pPr>
        <w:widowControl w:val="0"/>
        <w:spacing w:after="0"/>
        <w:contextualSpacing/>
        <w:jc w:val="both"/>
        <w:rPr>
          <w:rFonts w:ascii="Arial" w:eastAsia="Calibri" w:hAnsi="Arial" w:cs="Arial"/>
          <w:sz w:val="20"/>
          <w:szCs w:val="20"/>
          <w:lang w:val="en-GB"/>
          <w14:ligatures w14:val="none"/>
        </w:rPr>
      </w:pPr>
    </w:p>
    <w:p w14:paraId="4916006A" w14:textId="77777777" w:rsidR="00414D16" w:rsidRDefault="00414D16" w:rsidP="00414D16">
      <w:pPr>
        <w:widowControl w:val="0"/>
        <w:numPr>
          <w:ilvl w:val="0"/>
          <w:numId w:val="18"/>
        </w:numPr>
        <w:spacing w:after="0" w:line="300" w:lineRule="exact"/>
        <w:contextualSpacing/>
        <w:jc w:val="both"/>
        <w:rPr>
          <w:rFonts w:ascii="Arial" w:eastAsia="Calibri" w:hAnsi="Arial" w:cs="Arial"/>
          <w:sz w:val="20"/>
          <w:szCs w:val="20"/>
          <w:lang w:val="en-GB"/>
          <w14:ligatures w14:val="none"/>
        </w:rPr>
      </w:pPr>
      <w:r w:rsidRPr="003E09A6">
        <w:rPr>
          <w:rFonts w:ascii="Arial" w:eastAsia="Calibri" w:hAnsi="Arial" w:cs="Arial"/>
          <w:sz w:val="20"/>
          <w:szCs w:val="20"/>
          <w:lang w:val="en-GB"/>
          <w14:ligatures w14:val="none"/>
        </w:rPr>
        <w:t>The taxpayer, the legal representative or empowered persons may participate in videoconference meetings, provided identification details and, where applicable, supporting representation documents/powers of attorney are submitted via the SPV platform.</w:t>
      </w:r>
    </w:p>
    <w:p w14:paraId="1E1FD34A" w14:textId="77777777" w:rsidR="000B6810" w:rsidRPr="003E09A6" w:rsidRDefault="000B6810" w:rsidP="000B6810">
      <w:pPr>
        <w:widowControl w:val="0"/>
        <w:spacing w:after="0" w:line="300" w:lineRule="exact"/>
        <w:contextualSpacing/>
        <w:jc w:val="both"/>
        <w:rPr>
          <w:rFonts w:ascii="Arial" w:eastAsia="Calibri" w:hAnsi="Arial" w:cs="Arial"/>
          <w:sz w:val="20"/>
          <w:szCs w:val="20"/>
          <w:lang w:val="en-GB"/>
          <w14:ligatures w14:val="none"/>
        </w:rPr>
      </w:pPr>
    </w:p>
    <w:p w14:paraId="6C736892" w14:textId="77777777" w:rsidR="000B6810" w:rsidRPr="003E09A6" w:rsidRDefault="000B6810" w:rsidP="000B6810">
      <w:pPr>
        <w:widowControl w:val="0"/>
        <w:numPr>
          <w:ilvl w:val="0"/>
          <w:numId w:val="18"/>
        </w:numPr>
        <w:spacing w:after="0" w:line="300" w:lineRule="exact"/>
        <w:contextualSpacing/>
        <w:jc w:val="both"/>
        <w:rPr>
          <w:rFonts w:ascii="Arial" w:eastAsia="Calibri" w:hAnsi="Arial" w:cs="Arial"/>
          <w:sz w:val="20"/>
          <w:szCs w:val="20"/>
          <w:lang w:val="en-GB"/>
          <w14:ligatures w14:val="none"/>
        </w:rPr>
      </w:pPr>
      <w:r w:rsidRPr="003E09A6">
        <w:rPr>
          <w:rFonts w:ascii="Arial" w:eastAsia="Calibri" w:hAnsi="Arial" w:cs="Arial"/>
          <w:sz w:val="20"/>
          <w:szCs w:val="20"/>
          <w:lang w:val="en-GB"/>
          <w14:ligatures w14:val="none"/>
        </w:rPr>
        <w:t>The power of attorney must be signed using either a certified electronic signature or an advanced electronic signature certificate issued by the Romanian Ministry of Internal Affairs and it is of a specific nature, being valid exclusively for the meeting in question. Any changes regarding participants must be communicated via the SPV account and access is granted only to individuals validated by the tax authority.</w:t>
      </w:r>
    </w:p>
    <w:p w14:paraId="227F89EC" w14:textId="77777777" w:rsidR="000B6810" w:rsidRPr="003E09A6" w:rsidRDefault="000B6810" w:rsidP="000B6810">
      <w:pPr>
        <w:widowControl w:val="0"/>
        <w:spacing w:after="0"/>
        <w:contextualSpacing/>
        <w:jc w:val="both"/>
        <w:rPr>
          <w:rFonts w:ascii="Arial" w:eastAsia="Calibri" w:hAnsi="Arial" w:cs="Arial"/>
          <w:sz w:val="20"/>
          <w:szCs w:val="20"/>
          <w:lang w:val="en-GB"/>
          <w14:ligatures w14:val="none"/>
        </w:rPr>
      </w:pPr>
    </w:p>
    <w:p w14:paraId="11DAF755" w14:textId="77777777" w:rsidR="000B6810" w:rsidRPr="003E09A6" w:rsidRDefault="000B6810" w:rsidP="000B6810">
      <w:pPr>
        <w:widowControl w:val="0"/>
        <w:numPr>
          <w:ilvl w:val="0"/>
          <w:numId w:val="18"/>
        </w:numPr>
        <w:spacing w:after="0" w:line="300" w:lineRule="exact"/>
        <w:contextualSpacing/>
        <w:jc w:val="both"/>
        <w:rPr>
          <w:rFonts w:ascii="Arial" w:eastAsia="Calibri" w:hAnsi="Arial" w:cs="Arial"/>
          <w:sz w:val="20"/>
          <w:szCs w:val="20"/>
          <w:lang w:val="en-GB"/>
          <w14:ligatures w14:val="none"/>
        </w:rPr>
      </w:pPr>
      <w:r w:rsidRPr="003E09A6">
        <w:rPr>
          <w:rFonts w:ascii="Arial" w:eastAsia="Calibri" w:hAnsi="Arial" w:cs="Arial"/>
          <w:sz w:val="20"/>
          <w:szCs w:val="20"/>
          <w:lang w:val="en-GB"/>
          <w14:ligatures w14:val="none"/>
        </w:rPr>
        <w:t xml:space="preserve">Participants may authenticate in the platform using the certificate associated with their SPV account, their SPV login details (username, password and OTP code) or via the </w:t>
      </w:r>
      <w:proofErr w:type="spellStart"/>
      <w:r w:rsidRPr="003E09A6">
        <w:rPr>
          <w:rFonts w:ascii="Arial" w:eastAsia="Calibri" w:hAnsi="Arial" w:cs="Arial"/>
          <w:sz w:val="20"/>
          <w:szCs w:val="20"/>
          <w:lang w:val="en-GB"/>
          <w14:ligatures w14:val="none"/>
        </w:rPr>
        <w:t>ROeID</w:t>
      </w:r>
      <w:proofErr w:type="spellEnd"/>
      <w:r w:rsidRPr="003E09A6">
        <w:rPr>
          <w:rFonts w:ascii="Arial" w:eastAsia="Calibri" w:hAnsi="Arial" w:cs="Arial"/>
          <w:sz w:val="20"/>
          <w:szCs w:val="20"/>
          <w:lang w:val="en-GB"/>
          <w14:ligatures w14:val="none"/>
        </w:rPr>
        <w:t xml:space="preserve"> digital identity system.</w:t>
      </w:r>
    </w:p>
    <w:p w14:paraId="768CEFE6" w14:textId="77777777" w:rsidR="009E29D8" w:rsidRDefault="009E29D8" w:rsidP="002160EC">
      <w:pPr>
        <w:widowControl w:val="0"/>
        <w:spacing w:after="0"/>
        <w:contextualSpacing/>
        <w:jc w:val="both"/>
        <w:rPr>
          <w:rFonts w:ascii="Arial" w:eastAsia="Calibri" w:hAnsi="Arial" w:cs="Arial"/>
          <w:sz w:val="20"/>
          <w:szCs w:val="20"/>
          <w:lang w:val="en-GB"/>
          <w14:ligatures w14:val="none"/>
        </w:rPr>
      </w:pPr>
    </w:p>
    <w:p w14:paraId="54CCEDC3" w14:textId="4D2199DB" w:rsidR="000B6810" w:rsidRDefault="007E01CF" w:rsidP="002160EC">
      <w:pPr>
        <w:widowControl w:val="0"/>
        <w:numPr>
          <w:ilvl w:val="0"/>
          <w:numId w:val="18"/>
        </w:numPr>
        <w:spacing w:after="0" w:line="300" w:lineRule="exact"/>
        <w:contextualSpacing/>
        <w:jc w:val="both"/>
        <w:rPr>
          <w:rFonts w:ascii="Arial" w:eastAsia="Calibri" w:hAnsi="Arial" w:cs="Arial"/>
          <w:sz w:val="20"/>
          <w:szCs w:val="20"/>
          <w:lang w:val="en-GB"/>
          <w14:ligatures w14:val="none"/>
        </w:rPr>
      </w:pPr>
      <w:r w:rsidRPr="003E09A6">
        <w:rPr>
          <w:rFonts w:ascii="Arial" w:eastAsia="Calibri" w:hAnsi="Arial" w:cs="Arial"/>
          <w:sz w:val="20"/>
          <w:szCs w:val="20"/>
          <w:lang w:val="en-GB"/>
          <w14:ligatures w14:val="none"/>
        </w:rPr>
        <w:t xml:space="preserve">One working day before the meeting, the tax authority communicates via the SPV platform the access link for the meeting together with the applicable rules and conditions of participation. The taxpayer is </w:t>
      </w:r>
      <w:r w:rsidRPr="003E09A6">
        <w:rPr>
          <w:rFonts w:ascii="Arial" w:eastAsia="Calibri" w:hAnsi="Arial" w:cs="Arial"/>
          <w:sz w:val="20"/>
          <w:szCs w:val="20"/>
          <w:lang w:val="en-GB"/>
          <w14:ligatures w14:val="none"/>
        </w:rPr>
        <w:lastRenderedPageBreak/>
        <w:t>responsible for distributing the access link to the participants of the meeting.</w:t>
      </w:r>
    </w:p>
    <w:p w14:paraId="46E14C6D" w14:textId="77777777" w:rsidR="00D56AA9" w:rsidRPr="00D56AA9" w:rsidRDefault="00D56AA9" w:rsidP="00D56AA9">
      <w:pPr>
        <w:widowControl w:val="0"/>
        <w:spacing w:after="0" w:line="300" w:lineRule="exact"/>
        <w:contextualSpacing/>
        <w:jc w:val="both"/>
        <w:rPr>
          <w:rFonts w:ascii="Arial" w:eastAsia="Calibri" w:hAnsi="Arial" w:cs="Arial"/>
          <w:sz w:val="20"/>
          <w:szCs w:val="20"/>
          <w:lang w:val="en-GB"/>
          <w14:ligatures w14:val="none"/>
        </w:rPr>
      </w:pPr>
    </w:p>
    <w:p w14:paraId="3951D674" w14:textId="77777777" w:rsidR="00D56AA9" w:rsidRPr="003E09A6" w:rsidRDefault="00D56AA9" w:rsidP="00D56AA9">
      <w:pPr>
        <w:framePr w:hSpace="180" w:wrap="around" w:vAnchor="text" w:hAnchor="text" w:xAlign="right" w:y="1"/>
        <w:widowControl w:val="0"/>
        <w:numPr>
          <w:ilvl w:val="0"/>
          <w:numId w:val="18"/>
        </w:numPr>
        <w:spacing w:after="0" w:line="300" w:lineRule="exact"/>
        <w:contextualSpacing/>
        <w:suppressOverlap/>
        <w:jc w:val="both"/>
        <w:rPr>
          <w:rFonts w:ascii="Arial" w:eastAsia="Calibri" w:hAnsi="Arial" w:cs="Arial"/>
          <w:sz w:val="20"/>
          <w:szCs w:val="20"/>
          <w:lang w:val="en-GB"/>
          <w14:ligatures w14:val="none"/>
        </w:rPr>
      </w:pPr>
      <w:r w:rsidRPr="003E09A6">
        <w:rPr>
          <w:rFonts w:ascii="Arial" w:eastAsia="Calibri" w:hAnsi="Arial" w:cs="Arial"/>
          <w:sz w:val="20"/>
          <w:szCs w:val="20"/>
          <w:lang w:val="en-GB"/>
          <w14:ligatures w14:val="none"/>
        </w:rPr>
        <w:t xml:space="preserve">Participants must comply with the technical requirements and rules of conduct established under the procedure, and any recording or distribution of the meeting content is prohibited. </w:t>
      </w:r>
      <w:r w:rsidRPr="003E09A6">
        <w:rPr>
          <w:rFonts w:ascii="Times New Roman" w:eastAsia="Times New Roman" w:hAnsi="Times New Roman" w:cs="Times New Roman"/>
          <w:lang w:val="en-GB"/>
          <w14:ligatures w14:val="none"/>
        </w:rPr>
        <w:t xml:space="preserve"> </w:t>
      </w:r>
      <w:r w:rsidRPr="003E09A6">
        <w:rPr>
          <w:rFonts w:ascii="Arial" w:eastAsia="Calibri" w:hAnsi="Arial" w:cs="Arial"/>
          <w:sz w:val="20"/>
          <w:szCs w:val="20"/>
          <w:lang w:val="en-GB"/>
          <w14:ligatures w14:val="none"/>
        </w:rPr>
        <w:t xml:space="preserve">In the event of a failure to comply with these conditions, the tax authority may terminate the meeting, with no possibility of resuming it </w:t>
      </w:r>
      <w:proofErr w:type="gramStart"/>
      <w:r w:rsidRPr="003E09A6">
        <w:rPr>
          <w:rFonts w:ascii="Arial" w:eastAsia="Calibri" w:hAnsi="Arial" w:cs="Arial"/>
          <w:sz w:val="20"/>
          <w:szCs w:val="20"/>
          <w:lang w:val="en-GB"/>
          <w14:ligatures w14:val="none"/>
        </w:rPr>
        <w:t>at a later date</w:t>
      </w:r>
      <w:proofErr w:type="gramEnd"/>
      <w:r w:rsidRPr="003E09A6">
        <w:rPr>
          <w:rFonts w:ascii="Arial" w:eastAsia="Calibri" w:hAnsi="Arial" w:cs="Arial"/>
          <w:sz w:val="20"/>
          <w:szCs w:val="20"/>
          <w:lang w:val="en-GB"/>
          <w14:ligatures w14:val="none"/>
        </w:rPr>
        <w:t>; a meeting can only be rescheduled due to possible technical issues.</w:t>
      </w:r>
    </w:p>
    <w:p w14:paraId="139D0286" w14:textId="77777777" w:rsidR="00D56AA9" w:rsidRPr="003E09A6" w:rsidRDefault="00D56AA9" w:rsidP="00D56AA9">
      <w:pPr>
        <w:framePr w:hSpace="180" w:wrap="around" w:vAnchor="text" w:hAnchor="text" w:xAlign="right" w:y="1"/>
        <w:widowControl w:val="0"/>
        <w:spacing w:after="0"/>
        <w:contextualSpacing/>
        <w:suppressOverlap/>
        <w:jc w:val="both"/>
        <w:rPr>
          <w:rFonts w:ascii="Arial" w:eastAsia="Calibri" w:hAnsi="Arial" w:cs="Arial"/>
          <w:sz w:val="20"/>
          <w:szCs w:val="20"/>
          <w:lang w:val="en-GB"/>
          <w14:ligatures w14:val="none"/>
        </w:rPr>
      </w:pPr>
    </w:p>
    <w:p w14:paraId="0976951E" w14:textId="77777777" w:rsidR="00D56AA9" w:rsidRPr="003E09A6" w:rsidRDefault="00D56AA9" w:rsidP="00D56AA9">
      <w:pPr>
        <w:framePr w:hSpace="180" w:wrap="around" w:vAnchor="text" w:hAnchor="text" w:xAlign="right" w:y="1"/>
        <w:widowControl w:val="0"/>
        <w:numPr>
          <w:ilvl w:val="0"/>
          <w:numId w:val="18"/>
        </w:numPr>
        <w:spacing w:after="0" w:line="300" w:lineRule="exact"/>
        <w:contextualSpacing/>
        <w:suppressOverlap/>
        <w:jc w:val="both"/>
        <w:rPr>
          <w:rFonts w:ascii="Arial" w:eastAsia="Calibri" w:hAnsi="Arial" w:cs="Arial"/>
          <w:sz w:val="20"/>
          <w:szCs w:val="20"/>
          <w:lang w:val="en-GB"/>
          <w14:ligatures w14:val="none"/>
        </w:rPr>
      </w:pPr>
      <w:r w:rsidRPr="003E09A6">
        <w:rPr>
          <w:rFonts w:ascii="Arial" w:eastAsia="Calibri" w:hAnsi="Arial" w:cs="Arial"/>
          <w:sz w:val="20"/>
          <w:szCs w:val="20"/>
          <w:lang w:val="en-GB"/>
          <w14:ligatures w14:val="none"/>
        </w:rPr>
        <w:t>The meetings are recorded and transcribed by the tax authority, and the minutes, together with any related documents, are communicated to the taxpayer via the SPV platform.</w:t>
      </w:r>
    </w:p>
    <w:p w14:paraId="2543497C" w14:textId="77777777" w:rsidR="00D56AA9" w:rsidRPr="003E09A6" w:rsidRDefault="00D56AA9" w:rsidP="00D56AA9">
      <w:pPr>
        <w:framePr w:hSpace="180" w:wrap="around" w:vAnchor="text" w:hAnchor="text" w:xAlign="right" w:y="1"/>
        <w:widowControl w:val="0"/>
        <w:spacing w:after="0"/>
        <w:contextualSpacing/>
        <w:suppressOverlap/>
        <w:jc w:val="both"/>
        <w:rPr>
          <w:rFonts w:ascii="Arial" w:eastAsia="Calibri" w:hAnsi="Arial" w:cs="Arial"/>
          <w:sz w:val="20"/>
          <w:szCs w:val="20"/>
          <w:lang w:val="en-GB"/>
          <w14:ligatures w14:val="none"/>
        </w:rPr>
      </w:pPr>
    </w:p>
    <w:p w14:paraId="2166EC9F" w14:textId="77777777" w:rsidR="00D56AA9" w:rsidRPr="003E09A6" w:rsidRDefault="00D56AA9" w:rsidP="00D56AA9">
      <w:pPr>
        <w:framePr w:hSpace="180" w:wrap="around" w:vAnchor="text" w:hAnchor="text" w:xAlign="right" w:y="1"/>
        <w:widowControl w:val="0"/>
        <w:numPr>
          <w:ilvl w:val="0"/>
          <w:numId w:val="18"/>
        </w:numPr>
        <w:spacing w:after="0" w:line="300" w:lineRule="exact"/>
        <w:contextualSpacing/>
        <w:suppressOverlap/>
        <w:jc w:val="both"/>
        <w:rPr>
          <w:rFonts w:ascii="Arial" w:eastAsia="Calibri" w:hAnsi="Arial" w:cs="Arial"/>
          <w:sz w:val="20"/>
          <w:szCs w:val="20"/>
          <w:lang w:val="en-GB"/>
          <w14:ligatures w14:val="none"/>
        </w:rPr>
      </w:pPr>
      <w:r w:rsidRPr="003E09A6">
        <w:rPr>
          <w:rFonts w:ascii="Arial" w:eastAsia="Calibri" w:hAnsi="Arial" w:cs="Arial"/>
          <w:sz w:val="20"/>
          <w:szCs w:val="20"/>
          <w:lang w:val="en-GB"/>
          <w14:ligatures w14:val="none"/>
        </w:rPr>
        <w:t>The Romanian tax authorities will publish guidance materials regarding the implementation of the new procedure on its official website.</w:t>
      </w:r>
    </w:p>
    <w:p w14:paraId="049049AF" w14:textId="77777777" w:rsidR="00D56AA9" w:rsidRPr="003E09A6" w:rsidRDefault="00D56AA9" w:rsidP="00D56AA9">
      <w:pPr>
        <w:framePr w:hSpace="180" w:wrap="around" w:vAnchor="text" w:hAnchor="text" w:xAlign="right" w:y="1"/>
        <w:widowControl w:val="0"/>
        <w:spacing w:after="0"/>
        <w:contextualSpacing/>
        <w:suppressOverlap/>
        <w:jc w:val="both"/>
        <w:rPr>
          <w:rFonts w:ascii="Arial" w:eastAsia="Calibri" w:hAnsi="Arial" w:cs="Arial"/>
          <w:iCs/>
          <w:sz w:val="20"/>
          <w:szCs w:val="20"/>
          <w:lang w:val="en-GB"/>
          <w14:ligatures w14:val="none"/>
        </w:rPr>
      </w:pPr>
    </w:p>
    <w:p w14:paraId="77389CB9" w14:textId="2E6781B6" w:rsidR="009E29D8" w:rsidRDefault="00D56AA9" w:rsidP="00D56AA9">
      <w:pPr>
        <w:widowControl w:val="0"/>
        <w:spacing w:after="0"/>
        <w:contextualSpacing/>
        <w:jc w:val="both"/>
        <w:rPr>
          <w:rFonts w:ascii="Arial" w:eastAsia="Calibri" w:hAnsi="Arial" w:cs="Arial"/>
          <w:sz w:val="20"/>
          <w:szCs w:val="20"/>
          <w:lang w:val="en-GB"/>
          <w14:ligatures w14:val="none"/>
        </w:rPr>
      </w:pPr>
      <w:r w:rsidRPr="003E09A6">
        <w:rPr>
          <w:rFonts w:ascii="Arial" w:eastAsia="Calibri" w:hAnsi="Arial" w:cs="Arial"/>
          <w:i/>
          <w:color w:val="808080"/>
          <w:sz w:val="20"/>
          <w:szCs w:val="20"/>
          <w:lang w:val="en-GB"/>
          <w14:ligatures w14:val="none"/>
        </w:rPr>
        <w:t>Source: Order no. 705/2026 approving the Procedure for conducting meetings between the central tax authority and taxpayers using remote video communication tools, as published on 15 June 2026</w:t>
      </w:r>
    </w:p>
    <w:p w14:paraId="4E3027FF" w14:textId="77777777" w:rsidR="009E29D8" w:rsidRDefault="009E29D8" w:rsidP="002160EC">
      <w:pPr>
        <w:widowControl w:val="0"/>
        <w:spacing w:after="0"/>
        <w:contextualSpacing/>
        <w:jc w:val="both"/>
        <w:rPr>
          <w:rFonts w:ascii="Arial" w:eastAsia="Calibri" w:hAnsi="Arial" w:cs="Arial"/>
          <w:sz w:val="20"/>
          <w:szCs w:val="20"/>
          <w:lang w:val="en-GB"/>
          <w14:ligatures w14:val="none"/>
        </w:rPr>
      </w:pPr>
    </w:p>
    <w:p w14:paraId="1A356268" w14:textId="77777777" w:rsidR="00E174ED" w:rsidRPr="00AC7876" w:rsidRDefault="00E174ED" w:rsidP="00E174ED">
      <w:pPr>
        <w:pStyle w:val="Header"/>
        <w:jc w:val="both"/>
        <w:rPr>
          <w:rFonts w:ascii="Arial" w:hAnsi="Arial" w:cs="Arial"/>
          <w:sz w:val="20"/>
          <w:szCs w:val="20"/>
          <w:lang w:val="en-GB"/>
        </w:rPr>
      </w:pPr>
      <w:r w:rsidRPr="00AC7876">
        <w:rPr>
          <w:rFonts w:ascii="Arial" w:hAnsi="Arial" w:cs="Arial"/>
          <w:sz w:val="20"/>
          <w:szCs w:val="20"/>
          <w:lang w:val="en-GB"/>
        </w:rPr>
        <w:t>This newsletter is a service of TPA Romania.</w:t>
      </w:r>
    </w:p>
    <w:p w14:paraId="0D0CEEE0" w14:textId="77777777" w:rsidR="00E174ED" w:rsidRPr="00AC7876" w:rsidRDefault="00E174ED" w:rsidP="00E174ED">
      <w:pPr>
        <w:widowControl w:val="0"/>
        <w:tabs>
          <w:tab w:val="left" w:pos="720"/>
        </w:tabs>
        <w:spacing w:after="0"/>
        <w:contextualSpacing/>
        <w:jc w:val="both"/>
        <w:rPr>
          <w:rFonts w:ascii="Arial" w:eastAsia="Calibri" w:hAnsi="Arial" w:cs="Arial"/>
          <w:kern w:val="0"/>
          <w:sz w:val="20"/>
          <w:szCs w:val="20"/>
          <w:lang w:val="en-GB"/>
          <w14:ligatures w14:val="none"/>
        </w:rPr>
      </w:pPr>
    </w:p>
    <w:p w14:paraId="4434B89A" w14:textId="77777777" w:rsidR="00E174ED" w:rsidRPr="00AC7876" w:rsidRDefault="00E174ED" w:rsidP="00E174ED">
      <w:pPr>
        <w:widowControl w:val="0"/>
        <w:tabs>
          <w:tab w:val="left" w:pos="720"/>
        </w:tabs>
        <w:spacing w:after="0"/>
        <w:contextualSpacing/>
        <w:jc w:val="both"/>
        <w:rPr>
          <w:rFonts w:ascii="Arial" w:hAnsi="Arial" w:cs="Arial"/>
          <w:sz w:val="20"/>
          <w:szCs w:val="20"/>
          <w:lang w:val="en-GB"/>
        </w:rPr>
      </w:pPr>
      <w:r w:rsidRPr="00AC7876">
        <w:rPr>
          <w:rFonts w:ascii="Arial" w:eastAsia="Calibri" w:hAnsi="Arial" w:cs="Arial"/>
          <w:b/>
          <w:kern w:val="0"/>
          <w:sz w:val="20"/>
          <w:szCs w:val="20"/>
          <w:lang w:val="en-GB"/>
          <w14:ligatures w14:val="none"/>
        </w:rPr>
        <w:t>TPA Romania</w:t>
      </w:r>
    </w:p>
    <w:p w14:paraId="359AD2BF" w14:textId="77777777" w:rsidR="00E174ED" w:rsidRPr="00AC7876" w:rsidRDefault="00E174ED" w:rsidP="00E174ED">
      <w:pPr>
        <w:widowControl w:val="0"/>
        <w:tabs>
          <w:tab w:val="left" w:pos="720"/>
        </w:tabs>
        <w:spacing w:after="0"/>
        <w:contextualSpacing/>
        <w:jc w:val="both"/>
        <w:rPr>
          <w:rFonts w:ascii="Arial" w:hAnsi="Arial" w:cs="Arial"/>
          <w:sz w:val="20"/>
          <w:szCs w:val="20"/>
          <w:lang w:val="en-GB"/>
        </w:rPr>
      </w:pPr>
      <w:r w:rsidRPr="00AC7876">
        <w:rPr>
          <w:rFonts w:ascii="Arial" w:eastAsia="Calibri" w:hAnsi="Arial" w:cs="Arial"/>
          <w:kern w:val="0"/>
          <w:sz w:val="20"/>
          <w:szCs w:val="20"/>
          <w:lang w:val="en-GB"/>
          <w14:ligatures w14:val="none"/>
        </w:rPr>
        <w:t xml:space="preserve">Crystal Tower Building, </w:t>
      </w:r>
    </w:p>
    <w:p w14:paraId="0F93CB52" w14:textId="77777777" w:rsidR="00E174ED" w:rsidRPr="00AC7876" w:rsidRDefault="00E174ED" w:rsidP="00E174ED">
      <w:pPr>
        <w:widowControl w:val="0"/>
        <w:tabs>
          <w:tab w:val="left" w:pos="720"/>
        </w:tabs>
        <w:spacing w:after="0"/>
        <w:contextualSpacing/>
        <w:jc w:val="both"/>
        <w:rPr>
          <w:rFonts w:ascii="Arial" w:hAnsi="Arial" w:cs="Arial"/>
          <w:sz w:val="20"/>
          <w:szCs w:val="20"/>
          <w:lang w:val="en-GB"/>
        </w:rPr>
      </w:pPr>
      <w:r w:rsidRPr="00AC7876">
        <w:rPr>
          <w:rFonts w:ascii="Arial" w:eastAsia="Calibri" w:hAnsi="Arial" w:cs="Arial"/>
          <w:kern w:val="0"/>
          <w:sz w:val="20"/>
          <w:szCs w:val="20"/>
          <w:lang w:val="en-GB"/>
          <w14:ligatures w14:val="none"/>
        </w:rPr>
        <w:t xml:space="preserve">Blvd. Iancu de Hunedoara 48, </w:t>
      </w:r>
    </w:p>
    <w:p w14:paraId="33EBCBC7" w14:textId="77777777" w:rsidR="00E174ED" w:rsidRPr="00AC7876" w:rsidRDefault="00E174ED" w:rsidP="00E174ED">
      <w:pPr>
        <w:widowControl w:val="0"/>
        <w:tabs>
          <w:tab w:val="left" w:pos="720"/>
        </w:tabs>
        <w:spacing w:after="0"/>
        <w:contextualSpacing/>
        <w:jc w:val="both"/>
        <w:rPr>
          <w:rFonts w:ascii="Arial" w:hAnsi="Arial" w:cs="Arial"/>
          <w:sz w:val="20"/>
          <w:szCs w:val="20"/>
          <w:lang w:val="en-GB"/>
        </w:rPr>
      </w:pPr>
      <w:r w:rsidRPr="00AC7876">
        <w:rPr>
          <w:rFonts w:ascii="Arial" w:eastAsia="Calibri" w:hAnsi="Arial" w:cs="Arial"/>
          <w:kern w:val="0"/>
          <w:sz w:val="20"/>
          <w:szCs w:val="20"/>
          <w:lang w:val="en-GB"/>
          <w14:ligatures w14:val="none"/>
        </w:rPr>
        <w:t>011745 Bucharest, Romania.</w:t>
      </w:r>
    </w:p>
    <w:p w14:paraId="77F5539A" w14:textId="77777777" w:rsidR="00E174ED" w:rsidRPr="00AC7876" w:rsidRDefault="00E174ED" w:rsidP="00E174ED">
      <w:pPr>
        <w:widowControl w:val="0"/>
        <w:tabs>
          <w:tab w:val="left" w:pos="720"/>
        </w:tabs>
        <w:spacing w:after="0"/>
        <w:contextualSpacing/>
        <w:jc w:val="both"/>
        <w:rPr>
          <w:rFonts w:ascii="Arial" w:hAnsi="Arial" w:cs="Arial"/>
          <w:sz w:val="20"/>
          <w:szCs w:val="20"/>
          <w:lang w:val="en-GB"/>
        </w:rPr>
      </w:pPr>
      <w:r w:rsidRPr="00AC7876">
        <w:rPr>
          <w:rFonts w:ascii="Arial" w:eastAsia="Calibri" w:hAnsi="Arial" w:cs="Arial"/>
          <w:kern w:val="0"/>
          <w:sz w:val="20"/>
          <w:szCs w:val="20"/>
          <w:lang w:val="en-GB"/>
          <w14:ligatures w14:val="none"/>
        </w:rPr>
        <w:t>Tel: +40 21 310 06-69</w:t>
      </w:r>
    </w:p>
    <w:p w14:paraId="199531A2" w14:textId="77777777" w:rsidR="00E174ED" w:rsidRPr="00AC7876" w:rsidRDefault="00E174ED" w:rsidP="00E174ED">
      <w:pPr>
        <w:widowControl w:val="0"/>
        <w:tabs>
          <w:tab w:val="left" w:pos="720"/>
        </w:tabs>
        <w:spacing w:after="0"/>
        <w:contextualSpacing/>
        <w:jc w:val="both"/>
        <w:rPr>
          <w:rFonts w:ascii="Arial" w:hAnsi="Arial" w:cs="Arial"/>
          <w:sz w:val="20"/>
          <w:szCs w:val="20"/>
          <w:lang w:val="en-GB"/>
        </w:rPr>
      </w:pPr>
      <w:r w:rsidRPr="00AC7876">
        <w:rPr>
          <w:rFonts w:ascii="Arial" w:eastAsia="Calibri" w:hAnsi="Arial" w:cs="Arial"/>
          <w:kern w:val="0"/>
          <w:sz w:val="20"/>
          <w:szCs w:val="20"/>
          <w:lang w:val="en-GB"/>
          <w14:ligatures w14:val="none"/>
        </w:rPr>
        <w:t>Fax: +40 21 310 06-68</w:t>
      </w:r>
    </w:p>
    <w:p w14:paraId="0B9DE2E8" w14:textId="77777777" w:rsidR="00E174ED" w:rsidRPr="00AC7876" w:rsidRDefault="00E174ED" w:rsidP="00E174ED">
      <w:pPr>
        <w:widowControl w:val="0"/>
        <w:tabs>
          <w:tab w:val="left" w:pos="720"/>
        </w:tabs>
        <w:spacing w:after="0"/>
        <w:contextualSpacing/>
        <w:jc w:val="both"/>
        <w:rPr>
          <w:rFonts w:ascii="Arial" w:hAnsi="Arial" w:cs="Arial"/>
          <w:sz w:val="20"/>
          <w:szCs w:val="20"/>
          <w:lang w:val="en-GB"/>
        </w:rPr>
      </w:pPr>
      <w:r w:rsidRPr="00AC7876">
        <w:rPr>
          <w:rFonts w:ascii="Arial" w:eastAsia="Calibri" w:hAnsi="Arial" w:cs="Arial"/>
          <w:b/>
          <w:kern w:val="0"/>
          <w:sz w:val="20"/>
          <w:szCs w:val="20"/>
          <w:u w:val="single"/>
          <w:lang w:val="en-GB"/>
          <w14:ligatures w14:val="none"/>
        </w:rPr>
        <w:t>www.tpa-group.ro</w:t>
      </w:r>
    </w:p>
    <w:p w14:paraId="43168398" w14:textId="77777777" w:rsidR="00E174ED" w:rsidRPr="00AC7876" w:rsidRDefault="00E174ED" w:rsidP="00E174ED">
      <w:pPr>
        <w:widowControl w:val="0"/>
        <w:tabs>
          <w:tab w:val="left" w:pos="720"/>
        </w:tabs>
        <w:spacing w:after="0"/>
        <w:contextualSpacing/>
        <w:jc w:val="both"/>
        <w:rPr>
          <w:rFonts w:ascii="Arial" w:hAnsi="Arial" w:cs="Arial"/>
          <w:sz w:val="20"/>
          <w:szCs w:val="20"/>
          <w:lang w:val="en-GB"/>
        </w:rPr>
      </w:pPr>
      <w:r w:rsidRPr="00AC7876">
        <w:rPr>
          <w:rFonts w:ascii="Arial" w:eastAsia="Calibri" w:hAnsi="Arial" w:cs="Arial"/>
          <w:b/>
          <w:kern w:val="0"/>
          <w:sz w:val="20"/>
          <w:szCs w:val="20"/>
          <w:u w:val="single"/>
          <w:lang w:val="en-GB"/>
          <w14:ligatures w14:val="none"/>
        </w:rPr>
        <w:t>www.tpa-group.com</w:t>
      </w:r>
    </w:p>
    <w:p w14:paraId="51C34997" w14:textId="77777777" w:rsidR="00E174ED" w:rsidRPr="00AC7876" w:rsidRDefault="00E174ED" w:rsidP="00E174ED">
      <w:pPr>
        <w:widowControl w:val="0"/>
        <w:tabs>
          <w:tab w:val="left" w:pos="720"/>
        </w:tabs>
        <w:spacing w:after="0"/>
        <w:contextualSpacing/>
        <w:jc w:val="both"/>
        <w:rPr>
          <w:rFonts w:ascii="Arial" w:eastAsia="Calibri" w:hAnsi="Arial" w:cs="Arial"/>
          <w:b/>
          <w:kern w:val="0"/>
          <w:sz w:val="20"/>
          <w:szCs w:val="20"/>
          <w:u w:val="single"/>
          <w:lang w:val="en-GB"/>
          <w14:ligatures w14:val="none"/>
        </w:rPr>
      </w:pPr>
    </w:p>
    <w:p w14:paraId="4BEB0ADC" w14:textId="77777777" w:rsidR="00E174ED" w:rsidRPr="000F4A5A" w:rsidRDefault="00E174ED" w:rsidP="00E174ED">
      <w:pPr>
        <w:widowControl w:val="0"/>
        <w:spacing w:after="0"/>
        <w:contextualSpacing/>
        <w:jc w:val="both"/>
        <w:textAlignment w:val="center"/>
        <w:rPr>
          <w:rFonts w:ascii="Arial" w:hAnsi="Arial" w:cs="Arial"/>
          <w:sz w:val="20"/>
          <w:szCs w:val="20"/>
        </w:rPr>
      </w:pPr>
      <w:r w:rsidRPr="00AC7876">
        <w:rPr>
          <w:rFonts w:ascii="Arial" w:eastAsia="Calibri" w:hAnsi="Arial" w:cs="Arial"/>
          <w:kern w:val="0"/>
          <w:position w:val="6"/>
          <w:sz w:val="20"/>
          <w:szCs w:val="20"/>
          <w:lang w:val="en-GB"/>
          <w14:ligatures w14:val="none"/>
        </w:rPr>
        <w:t xml:space="preserve">To receive regular updates from TPA Romania, please sign up for our </w:t>
      </w:r>
      <w:hyperlink r:id="rId10">
        <w:r w:rsidRPr="00AC7876">
          <w:rPr>
            <w:rFonts w:ascii="Arial" w:eastAsia="Times Regular" w:hAnsi="Arial" w:cs="Arial"/>
            <w:color w:val="0000FF"/>
            <w:kern w:val="0"/>
            <w:position w:val="6"/>
            <w:sz w:val="20"/>
            <w:szCs w:val="20"/>
            <w:u w:val="single"/>
            <w:lang w:val="en-GB"/>
            <w14:ligatures w14:val="none"/>
          </w:rPr>
          <w:t>newsletter</w:t>
        </w:r>
      </w:hyperlink>
      <w:r w:rsidRPr="00AC7876">
        <w:rPr>
          <w:rFonts w:ascii="Arial" w:eastAsia="Times Regular" w:hAnsi="Arial" w:cs="Arial"/>
          <w:kern w:val="0"/>
          <w:position w:val="6"/>
          <w:sz w:val="20"/>
          <w:szCs w:val="20"/>
          <w:lang w:val="en-GB"/>
          <w14:ligatures w14:val="none"/>
        </w:rPr>
        <w:t>.</w:t>
      </w:r>
    </w:p>
    <w:p w14:paraId="130C6E12" w14:textId="77777777" w:rsidR="00E174ED" w:rsidRPr="00AC7876" w:rsidRDefault="00BE6D98" w:rsidP="00E174ED">
      <w:pPr>
        <w:widowControl w:val="0"/>
        <w:spacing w:before="200" w:after="0"/>
        <w:ind w:right="-1418"/>
        <w:contextualSpacing/>
        <w:rPr>
          <w:rFonts w:ascii="Arial" w:eastAsia="Calibri" w:hAnsi="Arial" w:cs="Arial"/>
          <w:kern w:val="0"/>
          <w:sz w:val="20"/>
          <w:szCs w:val="20"/>
          <w:lang w:val="en-GB"/>
          <w14:ligatures w14:val="none"/>
        </w:rPr>
      </w:pPr>
      <w:r>
        <w:rPr>
          <w:rFonts w:ascii="Arial" w:hAnsi="Arial" w:cs="Arial"/>
          <w:noProof/>
          <w:sz w:val="20"/>
          <w:szCs w:val="20"/>
        </w:rPr>
        <w:pict w14:anchorId="71B9BDFD">
          <v:rect id="Text Box 5" o:spid="_x0000_s1028" style="position:absolute;margin-left:0;margin-top:6pt;width:508.45pt;height:70.8pt;z-index:251659264;visibility:visible;mso-wrap-style:square;mso-wrap-distance-left:0;mso-wrap-distance-top:0;mso-wrap-distance-right:1.55pt;mso-wrap-distance-bottom:1.2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" o:allowincell="f" strokecolor="white">
            <v:textbox>
              <w:txbxContent>
                <w:p w14:paraId="7DBA7B22" w14:textId="77777777" w:rsidR="00E174ED" w:rsidRDefault="00E174ED" w:rsidP="00E174ED">
                  <w:pPr>
                    <w:pStyle w:val="FrameContents"/>
                    <w:rPr>
                      <w:b/>
                      <w:color w:val="005233"/>
                    </w:rPr>
                  </w:pPr>
                  <w:r>
                    <w:rPr>
                      <w:b/>
                      <w:color w:val="005233"/>
                    </w:rPr>
                    <w:t>Daniela Zar,</w:t>
                  </w:r>
                </w:p>
                <w:p w14:paraId="7612BAAA" w14:textId="77777777" w:rsidR="00E174ED" w:rsidRDefault="00E174ED" w:rsidP="00E174ED">
                  <w:pPr>
                    <w:pStyle w:val="FrameContents"/>
                    <w:rPr>
                      <w:b/>
                      <w:color w:val="005233"/>
                    </w:rPr>
                  </w:pPr>
                  <w:r>
                    <w:rPr>
                      <w:rFonts w:eastAsia="Times New Roman"/>
                      <w:lang w:eastAsia="de-AT"/>
                    </w:rPr>
                    <w:t xml:space="preserve">Tax Partner </w:t>
                  </w:r>
                  <w:r>
                    <w:rPr>
                      <w:rFonts w:eastAsia="Times New Roman"/>
                      <w:lang w:eastAsia="de-AT"/>
                    </w:rPr>
                    <w:tab/>
                  </w:r>
                </w:p>
                <w:p w14:paraId="478FFA94" w14:textId="77777777" w:rsidR="00E174ED" w:rsidRDefault="00E174ED" w:rsidP="00E174ED">
                  <w:pPr>
                    <w:pStyle w:val="FrameContents"/>
                  </w:pPr>
                  <w:r>
                    <w:rPr>
                      <w:rFonts w:eastAsia="Times New Roman"/>
                      <w:lang w:eastAsia="de-AT"/>
                    </w:rPr>
                    <w:t>email:</w:t>
                  </w:r>
                  <w:r>
                    <w:rPr>
                      <w:rStyle w:val="Hyperlink"/>
                    </w:rPr>
                    <w:t xml:space="preserve"> daniela.zar@tpa-group.ro</w:t>
                  </w:r>
                </w:p>
                <w:p w14:paraId="798CCC1D" w14:textId="77777777" w:rsidR="00E174ED" w:rsidRDefault="00E174ED" w:rsidP="00E174ED">
                  <w:pPr>
                    <w:pStyle w:val="FrameContents"/>
                    <w:spacing w:line="240" w:lineRule="auto"/>
                    <w:rPr>
                      <w:rFonts w:eastAsia="Times New Roman"/>
                      <w:lang w:eastAsia="de-AT"/>
                    </w:rPr>
                  </w:pPr>
                  <w:r>
                    <w:rPr>
                      <w:rFonts w:eastAsia="Times New Roman"/>
                      <w:lang w:eastAsia="de-AT"/>
                    </w:rPr>
                    <w:tab/>
                  </w:r>
                  <w:r>
                    <w:rPr>
                      <w:rFonts w:eastAsia="Times New Roman"/>
                      <w:lang w:eastAsia="de-AT"/>
                    </w:rPr>
                    <w:tab/>
                    <w:t xml:space="preserve">      </w:t>
                  </w:r>
                  <w:r>
                    <w:rPr>
                      <w:rFonts w:eastAsia="Times New Roman"/>
                      <w:lang w:eastAsia="de-AT"/>
                    </w:rPr>
                    <w:tab/>
                  </w:r>
                  <w:r>
                    <w:rPr>
                      <w:rFonts w:eastAsia="Times New Roman"/>
                      <w:lang w:eastAsia="de-AT"/>
                    </w:rPr>
                    <w:tab/>
                  </w:r>
                  <w:r>
                    <w:rPr>
                      <w:rFonts w:eastAsia="Times New Roman"/>
                      <w:lang w:eastAsia="de-AT"/>
                    </w:rPr>
                    <w:tab/>
                  </w:r>
                  <w:r>
                    <w:rPr>
                      <w:rFonts w:eastAsia="Times New Roman"/>
                      <w:lang w:eastAsia="de-AT"/>
                    </w:rPr>
                    <w:tab/>
                  </w:r>
                  <w:r>
                    <w:rPr>
                      <w:rFonts w:eastAsia="Times New Roman"/>
                      <w:lang w:eastAsia="de-AT"/>
                    </w:rPr>
                    <w:tab/>
                  </w:r>
                  <w:r>
                    <w:rPr>
                      <w:rFonts w:eastAsia="Times New Roman"/>
                      <w:lang w:eastAsia="de-AT"/>
                    </w:rPr>
                    <w:tab/>
                  </w:r>
                  <w:r>
                    <w:rPr>
                      <w:rFonts w:eastAsia="Times New Roman"/>
                      <w:lang w:eastAsia="de-AT"/>
                    </w:rPr>
                    <w:tab/>
                  </w:r>
                  <w:r>
                    <w:rPr>
                      <w:rFonts w:eastAsia="Times New Roman"/>
                      <w:lang w:eastAsia="de-AT"/>
                    </w:rPr>
                    <w:tab/>
                  </w:r>
                  <w:r>
                    <w:rPr>
                      <w:rFonts w:eastAsia="Times New Roman"/>
                      <w:lang w:eastAsia="de-AT"/>
                    </w:rPr>
                    <w:tab/>
                  </w:r>
                  <w:r>
                    <w:rPr>
                      <w:rFonts w:eastAsia="Times New Roman"/>
                      <w:lang w:eastAsia="de-AT"/>
                    </w:rPr>
                    <w:tab/>
                  </w:r>
                  <w:r>
                    <w:rPr>
                      <w:rFonts w:eastAsia="Times New Roman"/>
                      <w:lang w:eastAsia="de-AT"/>
                    </w:rPr>
                    <w:tab/>
                  </w:r>
                  <w:r>
                    <w:rPr>
                      <w:rFonts w:eastAsia="Times New Roman"/>
                      <w:lang w:eastAsia="de-AT"/>
                    </w:rPr>
                    <w:tab/>
                    <w:t xml:space="preserve">    </w:t>
                  </w:r>
                </w:p>
                <w:p w14:paraId="297F7843" w14:textId="77777777" w:rsidR="00E174ED" w:rsidRDefault="00E174ED" w:rsidP="00E174ED">
                  <w:pPr>
                    <w:pStyle w:val="FrameContents"/>
                  </w:pPr>
                </w:p>
              </w:txbxContent>
            </v:textbox>
            <w10:wrap anchorx="margin"/>
          </v:rect>
        </w:pict>
      </w:r>
    </w:p>
    <w:p w14:paraId="5EE75B57" w14:textId="77777777" w:rsidR="00E174ED" w:rsidRPr="00AC7876" w:rsidRDefault="00E174ED" w:rsidP="00E174ED">
      <w:pPr>
        <w:widowControl w:val="0"/>
        <w:spacing w:before="200" w:after="0"/>
        <w:ind w:right="-1418"/>
        <w:contextualSpacing/>
        <w:rPr>
          <w:rFonts w:ascii="Arial" w:eastAsia="Calibri" w:hAnsi="Arial" w:cs="Arial"/>
          <w:kern w:val="0"/>
          <w:sz w:val="20"/>
          <w:szCs w:val="20"/>
          <w:lang w:val="en-GB"/>
          <w14:ligatures w14:val="none"/>
        </w:rPr>
      </w:pPr>
    </w:p>
    <w:p w14:paraId="6CA7F849" w14:textId="77777777" w:rsidR="00E174ED" w:rsidRPr="00AC7876" w:rsidRDefault="00E174ED" w:rsidP="00E174ED">
      <w:pPr>
        <w:widowControl w:val="0"/>
        <w:spacing w:before="200" w:after="0"/>
        <w:ind w:right="-1418"/>
        <w:contextualSpacing/>
        <w:rPr>
          <w:rFonts w:ascii="Arial" w:eastAsia="Calibri" w:hAnsi="Arial" w:cs="Arial"/>
          <w:kern w:val="0"/>
          <w:sz w:val="20"/>
          <w:szCs w:val="20"/>
          <w:lang w:val="en-GB"/>
          <w14:ligatures w14:val="none"/>
        </w:rPr>
      </w:pPr>
    </w:p>
    <w:p w14:paraId="02ED0701" w14:textId="77777777" w:rsidR="00E174ED" w:rsidRPr="000F4A5A" w:rsidRDefault="00E174ED" w:rsidP="00E174ED">
      <w:pPr>
        <w:widowControl w:val="0"/>
        <w:spacing w:before="200" w:after="0"/>
        <w:ind w:right="-1418"/>
        <w:contextualSpacing/>
        <w:rPr>
          <w:rFonts w:ascii="Arial" w:eastAsia="Calibri" w:hAnsi="Arial" w:cs="Arial"/>
          <w:kern w:val="0"/>
          <w:sz w:val="20"/>
          <w:szCs w:val="20"/>
          <w:lang w:val="en-GB"/>
          <w14:ligatures w14:val="none"/>
        </w:rPr>
      </w:pPr>
      <w:r w:rsidRPr="00AC7876">
        <w:rPr>
          <w:rFonts w:ascii="Arial" w:eastAsia="Calibri" w:hAnsi="Arial" w:cs="Arial"/>
          <w:noProof/>
          <w:kern w:val="0"/>
          <w:sz w:val="20"/>
          <w:szCs w:val="20"/>
          <w:lang w:val="en-GB"/>
          <w14:ligatures w14:val="none"/>
        </w:rPr>
        <w:drawing>
          <wp:anchor distT="0" distB="0" distL="114300" distR="114300" simplePos="0" relativeHeight="251660288" behindDoc="0" locked="0" layoutInCell="0" allowOverlap="1" wp14:anchorId="6F0CB8A1" wp14:editId="5613EFB3">
            <wp:simplePos x="0" y="0"/>
            <wp:positionH relativeFrom="column">
              <wp:posOffset>-635</wp:posOffset>
            </wp:positionH>
            <wp:positionV relativeFrom="paragraph">
              <wp:posOffset>222885</wp:posOffset>
            </wp:positionV>
            <wp:extent cx="1584960" cy="1584960"/>
            <wp:effectExtent l="0" t="0" r="0" b="0"/>
            <wp:wrapTopAndBottom/>
            <wp:docPr id="4" name="Grafik 10" descr="A person with short dark hair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0" descr="A person with short dark hair smiling&#10;&#10;Description automatically generated"/>
                    <pic:cNvPicPr>
                      <a:picLocks noChangeAspect="1" noChangeArrowheads="1"/>
                    </pic:cNvPicPr>
                  </pic:nvPicPr>
                  <pic:blipFill>
                    <a:blip r:embed="rId11"/>
                    <a:stretch>
                      <a:fillRect/>
                    </a:stretch>
                  </pic:blipFill>
                  <pic:spPr bwMode="auto">
                    <a:xfrm>
                      <a:off x="0" y="0"/>
                      <a:ext cx="1584960" cy="1584960"/>
                    </a:xfrm>
                    <a:prstGeom prst="rect">
                      <a:avLst/>
                    </a:prstGeom>
                  </pic:spPr>
                </pic:pic>
              </a:graphicData>
            </a:graphic>
          </wp:anchor>
        </w:drawing>
      </w:r>
    </w:p>
    <w:p w14:paraId="5A3255DA" w14:textId="77777777" w:rsidR="00E174ED" w:rsidRPr="00D913BA" w:rsidRDefault="00E174ED" w:rsidP="00E174ED">
      <w:pPr>
        <w:widowControl w:val="0"/>
        <w:spacing w:after="0"/>
        <w:contextualSpacing/>
        <w:jc w:val="both"/>
        <w:rPr>
          <w:rFonts w:ascii="Arial" w:eastAsia="Calibri" w:hAnsi="Arial" w:cs="Arial"/>
          <w:b/>
          <w:bCs/>
          <w:kern w:val="0"/>
          <w:sz w:val="16"/>
          <w:szCs w:val="16"/>
          <w:lang w:val="en-GB"/>
          <w14:ligatures w14:val="none"/>
        </w:rPr>
      </w:pPr>
    </w:p>
    <w:p w14:paraId="581477A5" w14:textId="77777777" w:rsidR="00E174ED" w:rsidRPr="00D913BA" w:rsidRDefault="00E174ED" w:rsidP="00E174ED">
      <w:pPr>
        <w:widowControl w:val="0"/>
        <w:spacing w:before="200" w:after="0" w:line="240" w:lineRule="auto"/>
        <w:ind w:right="-1"/>
        <w:contextualSpacing/>
        <w:jc w:val="both"/>
        <w:rPr>
          <w:rFonts w:ascii="Arial" w:hAnsi="Arial" w:cs="Arial"/>
          <w:sz w:val="16"/>
          <w:szCs w:val="16"/>
        </w:rPr>
      </w:pPr>
      <w:bookmarkStart w:id="0" w:name="_Hlk183183708"/>
      <w:r w:rsidRPr="00D913BA">
        <w:rPr>
          <w:rFonts w:ascii="Arial" w:eastAsia="Calibri" w:hAnsi="Arial" w:cs="Arial"/>
          <w:b/>
          <w:bCs/>
          <w:kern w:val="0"/>
          <w:sz w:val="16"/>
          <w:szCs w:val="16"/>
          <w:lang w:val="en-GB"/>
          <w14:ligatures w14:val="none"/>
        </w:rPr>
        <w:t xml:space="preserve">IMPRINT </w:t>
      </w:r>
      <w:r w:rsidRPr="00D913BA">
        <w:rPr>
          <w:rFonts w:ascii="Arial" w:eastAsia="Calibri" w:hAnsi="Arial" w:cs="Arial"/>
          <w:kern w:val="0"/>
          <w:sz w:val="16"/>
          <w:szCs w:val="16"/>
          <w:lang w:val="en-GB"/>
          <w14:ligatures w14:val="none"/>
        </w:rPr>
        <w:t xml:space="preserve">Information update: 10 July 2026 This information has been simplified and is not a substitute for individual advice. Responsibility for the content lies with </w:t>
      </w:r>
      <w:r w:rsidRPr="00D913BA">
        <w:rPr>
          <w:rFonts w:ascii="Arial" w:eastAsia="Calibri" w:hAnsi="Arial" w:cs="Arial"/>
          <w:color w:val="0000FF"/>
          <w:kern w:val="0"/>
          <w:sz w:val="16"/>
          <w:szCs w:val="16"/>
          <w:u w:val="single"/>
          <w:lang w:val="en-GB"/>
          <w14:ligatures w14:val="none"/>
        </w:rPr>
        <w:t>Daniela Zar, Tax Partner</w:t>
      </w:r>
      <w:r w:rsidRPr="00D913BA">
        <w:rPr>
          <w:rFonts w:ascii="Arial" w:eastAsia="Calibri" w:hAnsi="Arial" w:cs="Arial"/>
          <w:kern w:val="0"/>
          <w:sz w:val="16"/>
          <w:szCs w:val="16"/>
          <w:lang w:val="en-GB"/>
          <w14:ligatures w14:val="none"/>
        </w:rPr>
        <w:t xml:space="preserve"> of TPA Romania, Blvd. Iancu de Hunedoara 48, 011745 Bucharest, Romania. TPA Romania is an independent member of the Baker Tilly Europe Alliance. Tel: +40 21 3100669. Homepage: </w:t>
      </w:r>
      <w:hyperlink r:id="rId12">
        <w:r w:rsidRPr="00D913BA">
          <w:rPr>
            <w:rFonts w:ascii="Arial" w:eastAsia="Calibri" w:hAnsi="Arial" w:cs="Arial"/>
            <w:color w:val="0000FF"/>
            <w:kern w:val="0"/>
            <w:sz w:val="16"/>
            <w:szCs w:val="16"/>
            <w:u w:val="single"/>
            <w:lang w:val="en-GB"/>
            <w14:ligatures w14:val="none"/>
          </w:rPr>
          <w:t>www.tpa-group.ro</w:t>
        </w:r>
      </w:hyperlink>
      <w:r w:rsidRPr="00D913BA">
        <w:rPr>
          <w:rFonts w:ascii="Arial" w:eastAsia="Calibri" w:hAnsi="Arial" w:cs="Arial"/>
          <w:kern w:val="0"/>
          <w:sz w:val="16"/>
          <w:szCs w:val="16"/>
          <w:lang w:val="en-GB"/>
          <w14:ligatures w14:val="none"/>
        </w:rPr>
        <w:t>; Concept and design: TPA Romania</w:t>
      </w:r>
      <w:bookmarkEnd w:id="0"/>
    </w:p>
    <w:p w14:paraId="243ED18E" w14:textId="77777777" w:rsidR="00E174ED" w:rsidRPr="00D913BA" w:rsidRDefault="00E174ED" w:rsidP="00E174ED">
      <w:pPr>
        <w:widowControl w:val="0"/>
        <w:spacing w:after="0" w:line="240" w:lineRule="auto"/>
        <w:contextualSpacing/>
        <w:jc w:val="both"/>
        <w:rPr>
          <w:rFonts w:ascii="Arial" w:eastAsia="Calibri" w:hAnsi="Arial" w:cs="Arial"/>
          <w:b/>
          <w:kern w:val="0"/>
          <w:sz w:val="16"/>
          <w:szCs w:val="16"/>
          <w:lang w:val="en-GB"/>
          <w14:ligatures w14:val="none"/>
        </w:rPr>
      </w:pPr>
    </w:p>
    <w:p w14:paraId="31DA65BD" w14:textId="4E8B98BD" w:rsidR="0001311F" w:rsidRPr="00853CB9" w:rsidRDefault="00E174ED" w:rsidP="00853CB9">
      <w:pPr>
        <w:widowControl w:val="0"/>
        <w:spacing w:after="0" w:line="240" w:lineRule="auto"/>
        <w:contextualSpacing/>
        <w:jc w:val="both"/>
        <w:rPr>
          <w:rFonts w:ascii="Arial" w:hAnsi="Arial" w:cs="Arial"/>
          <w:sz w:val="16"/>
          <w:szCs w:val="16"/>
          <w:lang w:val="en-GB"/>
        </w:rPr>
      </w:pPr>
      <w:r w:rsidRPr="00D913BA">
        <w:rPr>
          <w:rFonts w:ascii="Arial" w:eastAsia="Calibri" w:hAnsi="Arial" w:cs="Arial"/>
          <w:b/>
          <w:kern w:val="0"/>
          <w:sz w:val="16"/>
          <w:szCs w:val="16"/>
          <w:lang w:val="en-GB"/>
          <w14:ligatures w14:val="none"/>
        </w:rPr>
        <w:t xml:space="preserve">Copyright @2026 TPA Romania, Blvd. Iancu de Hunedoara 48, 011745 Bucharest, Romania </w:t>
      </w:r>
    </w:p>
    <w:sectPr w:rsidR="0001311F" w:rsidRPr="00853CB9" w:rsidSect="00853CB9">
      <w:headerReference w:type="default" r:id="rId13"/>
      <w:footerReference w:type="default" r:id="rId14"/>
      <w:pgSz w:w="12240" w:h="15840"/>
      <w:pgMar w:top="1440" w:right="1440" w:bottom="1440" w:left="1440" w:header="288" w:footer="14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01A03" w14:textId="77777777" w:rsidR="00BE6D98" w:rsidRDefault="00BE6D98">
      <w:pPr>
        <w:spacing w:after="0" w:line="240" w:lineRule="auto"/>
      </w:pPr>
      <w:r>
        <w:separator/>
      </w:r>
    </w:p>
  </w:endnote>
  <w:endnote w:type="continuationSeparator" w:id="0">
    <w:p w14:paraId="5D2A873F" w14:textId="77777777" w:rsidR="00BE6D98" w:rsidRDefault="00BE6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altName w:val="Calibri"/>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Regular">
    <w:altName w:val="Malgun Gothic"/>
    <w:panose1 w:val="00000000000000000000"/>
    <w:charset w:val="81"/>
    <w:family w:val="auto"/>
    <w:notTrueType/>
    <w:pitch w:val="default"/>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A65CE" w14:textId="77777777" w:rsidR="0001311F" w:rsidRDefault="00266EAB">
    <w:pPr>
      <w:widowControl w:val="0"/>
      <w:spacing w:before="200" w:after="0" w:line="280" w:lineRule="exact"/>
      <w:ind w:left="-1418" w:right="-1418"/>
      <w:contextualSpacing/>
      <w:jc w:val="center"/>
      <w:rPr>
        <w:rFonts w:ascii="Arial" w:eastAsia="Calibri" w:hAnsi="Arial" w:cs="Arial"/>
        <w:kern w:val="0"/>
        <w:sz w:val="20"/>
        <w:szCs w:val="20"/>
        <w:lang w:val="en-GB"/>
        <w14:ligatures w14:val="none"/>
      </w:rPr>
    </w:pPr>
    <w:r>
      <w:rPr>
        <w:rFonts w:ascii="Arial" w:eastAsia="Calibri" w:hAnsi="Arial" w:cs="Arial"/>
        <w:color w:val="58595B"/>
        <w:kern w:val="0"/>
        <w:sz w:val="18"/>
        <w:szCs w:val="18"/>
        <w:lang w:val="ro-RO"/>
        <w14:ligatures w14:val="none"/>
      </w:rPr>
      <w:t>Albania | Austria | Bulgaria | Croatia | Czech Republic | Hungary | Montenegro I Poland | Romania | Serbia | Slovakia | Slovenia</w:t>
    </w:r>
  </w:p>
  <w:p w14:paraId="31DA65CF" w14:textId="77777777" w:rsidR="0001311F" w:rsidRDefault="00266EAB">
    <w:pPr>
      <w:widowControl w:val="0"/>
      <w:spacing w:before="200" w:after="0" w:line="280" w:lineRule="exact"/>
      <w:ind w:left="-1418" w:right="-1418"/>
      <w:contextualSpacing/>
      <w:jc w:val="center"/>
      <w:rPr>
        <w:rFonts w:ascii="Arial" w:eastAsia="Calibri" w:hAnsi="Arial" w:cs="Arial"/>
        <w:kern w:val="0"/>
        <w:sz w:val="20"/>
        <w:szCs w:val="20"/>
        <w:lang w:val="en-GB"/>
        <w14:ligatures w14:val="none"/>
      </w:rPr>
    </w:pPr>
    <w:r>
      <w:rPr>
        <w:rFonts w:ascii="Arial" w:eastAsia="Calibri" w:hAnsi="Arial" w:cs="Arial"/>
        <w:color w:val="58595B"/>
        <w:kern w:val="0"/>
        <w:sz w:val="18"/>
        <w:szCs w:val="18"/>
        <w14:ligatures w14:val="none"/>
      </w:rPr>
      <w:t>An independent member of the Baker Tilly Europe Alliance</w:t>
    </w:r>
  </w:p>
  <w:p w14:paraId="31DA65D0" w14:textId="77777777" w:rsidR="0001311F" w:rsidRDefault="000131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47041" w14:textId="77777777" w:rsidR="00BE6D98" w:rsidRDefault="00BE6D98">
      <w:pPr>
        <w:spacing w:after="0" w:line="240" w:lineRule="auto"/>
      </w:pPr>
      <w:r>
        <w:separator/>
      </w:r>
    </w:p>
  </w:footnote>
  <w:footnote w:type="continuationSeparator" w:id="0">
    <w:p w14:paraId="7E9117A4" w14:textId="77777777" w:rsidR="00BE6D98" w:rsidRDefault="00BE6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A65CD" w14:textId="77777777" w:rsidR="0001311F" w:rsidRDefault="00266EAB">
    <w:pPr>
      <w:pStyle w:val="Header"/>
      <w:jc w:val="center"/>
    </w:pPr>
    <w:r>
      <w:rPr>
        <w:noProof/>
      </w:rPr>
      <w:drawing>
        <wp:inline distT="0" distB="0" distL="0" distR="0" wp14:anchorId="31DA65D1" wp14:editId="31DA65D2">
          <wp:extent cx="1225550" cy="902335"/>
          <wp:effectExtent l="0" t="0" r="0" b="0"/>
          <wp:docPr id="6"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pic:cNvPicPr>
                    <a:picLocks noChangeAspect="1" noChangeArrowheads="1"/>
                  </pic:cNvPicPr>
                </pic:nvPicPr>
                <pic:blipFill>
                  <a:blip r:embed="rId1"/>
                  <a:stretch>
                    <a:fillRect/>
                  </a:stretch>
                </pic:blipFill>
                <pic:spPr bwMode="auto">
                  <a:xfrm>
                    <a:off x="0" y="0"/>
                    <a:ext cx="1225550" cy="9023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6C4"/>
    <w:multiLevelType w:val="multilevel"/>
    <w:tmpl w:val="73503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D1DF3"/>
    <w:multiLevelType w:val="multilevel"/>
    <w:tmpl w:val="6EB23CF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16EC1FC1"/>
    <w:multiLevelType w:val="multilevel"/>
    <w:tmpl w:val="D8F4919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0B752FC"/>
    <w:multiLevelType w:val="multilevel"/>
    <w:tmpl w:val="B824B27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26A7DAE"/>
    <w:multiLevelType w:val="multilevel"/>
    <w:tmpl w:val="96B07FE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3B501F6"/>
    <w:multiLevelType w:val="multilevel"/>
    <w:tmpl w:val="1652AFB4"/>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37C60"/>
    <w:multiLevelType w:val="multilevel"/>
    <w:tmpl w:val="9B243F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88821F3"/>
    <w:multiLevelType w:val="hybridMultilevel"/>
    <w:tmpl w:val="3D1CBD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607D15"/>
    <w:multiLevelType w:val="hybridMultilevel"/>
    <w:tmpl w:val="A2DC58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6A56C3C"/>
    <w:multiLevelType w:val="multilevel"/>
    <w:tmpl w:val="0A3C23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4A2D7411"/>
    <w:multiLevelType w:val="multilevel"/>
    <w:tmpl w:val="CCA20F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8C75F5"/>
    <w:multiLevelType w:val="multilevel"/>
    <w:tmpl w:val="2F58A65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53A2274C"/>
    <w:multiLevelType w:val="hybridMultilevel"/>
    <w:tmpl w:val="28AE20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7260FA2"/>
    <w:multiLevelType w:val="multilevel"/>
    <w:tmpl w:val="B77A6C1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4" w15:restartNumberingAfterBreak="0">
    <w:nsid w:val="62511376"/>
    <w:multiLevelType w:val="multilevel"/>
    <w:tmpl w:val="A1C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D61B30"/>
    <w:multiLevelType w:val="multilevel"/>
    <w:tmpl w:val="7CDA5C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7B3C115E"/>
    <w:multiLevelType w:val="multilevel"/>
    <w:tmpl w:val="73563C64"/>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7BBA5536"/>
    <w:multiLevelType w:val="multilevel"/>
    <w:tmpl w:val="863889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541671779">
    <w:abstractNumId w:val="4"/>
  </w:num>
  <w:num w:numId="2" w16cid:durableId="219025063">
    <w:abstractNumId w:val="9"/>
  </w:num>
  <w:num w:numId="3" w16cid:durableId="1407075080">
    <w:abstractNumId w:val="17"/>
  </w:num>
  <w:num w:numId="4" w16cid:durableId="231281385">
    <w:abstractNumId w:val="6"/>
  </w:num>
  <w:num w:numId="5" w16cid:durableId="411513875">
    <w:abstractNumId w:val="11"/>
  </w:num>
  <w:num w:numId="6" w16cid:durableId="2096323412">
    <w:abstractNumId w:val="3"/>
  </w:num>
  <w:num w:numId="7" w16cid:durableId="13384426">
    <w:abstractNumId w:val="1"/>
  </w:num>
  <w:num w:numId="8" w16cid:durableId="694963417">
    <w:abstractNumId w:val="13"/>
  </w:num>
  <w:num w:numId="9" w16cid:durableId="553396377">
    <w:abstractNumId w:val="2"/>
  </w:num>
  <w:num w:numId="10" w16cid:durableId="1307852395">
    <w:abstractNumId w:val="15"/>
  </w:num>
  <w:num w:numId="11" w16cid:durableId="187452373">
    <w:abstractNumId w:val="16"/>
  </w:num>
  <w:num w:numId="12" w16cid:durableId="24989875">
    <w:abstractNumId w:val="5"/>
  </w:num>
  <w:num w:numId="13" w16cid:durableId="500898158">
    <w:abstractNumId w:val="10"/>
  </w:num>
  <w:num w:numId="14" w16cid:durableId="1308319929">
    <w:abstractNumId w:val="12"/>
  </w:num>
  <w:num w:numId="15" w16cid:durableId="832138476">
    <w:abstractNumId w:val="14"/>
  </w:num>
  <w:num w:numId="16" w16cid:durableId="1355573048">
    <w:abstractNumId w:val="0"/>
  </w:num>
  <w:num w:numId="17" w16cid:durableId="167259604">
    <w:abstractNumId w:val="8"/>
  </w:num>
  <w:num w:numId="18" w16cid:durableId="9533618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01311F"/>
    <w:rsid w:val="0001311F"/>
    <w:rsid w:val="0001493F"/>
    <w:rsid w:val="00033843"/>
    <w:rsid w:val="000873C3"/>
    <w:rsid w:val="000B6810"/>
    <w:rsid w:val="001B2103"/>
    <w:rsid w:val="002160EC"/>
    <w:rsid w:val="00244C51"/>
    <w:rsid w:val="00266EAB"/>
    <w:rsid w:val="002A5BC9"/>
    <w:rsid w:val="00362557"/>
    <w:rsid w:val="00402EC3"/>
    <w:rsid w:val="00414D16"/>
    <w:rsid w:val="00632886"/>
    <w:rsid w:val="006637EB"/>
    <w:rsid w:val="007007B1"/>
    <w:rsid w:val="007E01CF"/>
    <w:rsid w:val="00853CB9"/>
    <w:rsid w:val="008E4639"/>
    <w:rsid w:val="008F384A"/>
    <w:rsid w:val="00956E5E"/>
    <w:rsid w:val="009E29D8"/>
    <w:rsid w:val="00B941DB"/>
    <w:rsid w:val="00BD1D2E"/>
    <w:rsid w:val="00BE6D98"/>
    <w:rsid w:val="00C22B9E"/>
    <w:rsid w:val="00CE1273"/>
    <w:rsid w:val="00D56AA9"/>
    <w:rsid w:val="00E174E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1DA653F"/>
  <w15:docId w15:val="{45FB5454-B5BA-477A-80FE-B7A64CCE2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6" w:lineRule="auto"/>
    </w:pPr>
  </w:style>
  <w:style w:type="paragraph" w:styleId="Heading1">
    <w:name w:val="heading 1"/>
    <w:basedOn w:val="Normal"/>
    <w:next w:val="Normal"/>
    <w:link w:val="Heading1Char"/>
    <w:uiPriority w:val="9"/>
    <w:qFormat/>
    <w:rsid w:val="00CD55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55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55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55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55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55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55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55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55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CD55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CD55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CD55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CD55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CD55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CD55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CD55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CD55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CD55CA"/>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CD55CA"/>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CD55CA"/>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CD55CA"/>
    <w:rPr>
      <w:i/>
      <w:iCs/>
      <w:color w:val="404040" w:themeColor="text1" w:themeTint="BF"/>
    </w:rPr>
  </w:style>
  <w:style w:type="character" w:styleId="IntenseEmphasis">
    <w:name w:val="Intense Emphasis"/>
    <w:basedOn w:val="DefaultParagraphFont"/>
    <w:uiPriority w:val="21"/>
    <w:qFormat/>
    <w:rsid w:val="00CD55CA"/>
    <w:rPr>
      <w:i/>
      <w:iCs/>
      <w:color w:val="0F4761" w:themeColor="accent1" w:themeShade="BF"/>
    </w:rPr>
  </w:style>
  <w:style w:type="character" w:customStyle="1" w:styleId="IntenseQuoteChar">
    <w:name w:val="Intense Quote Char"/>
    <w:basedOn w:val="DefaultParagraphFont"/>
    <w:link w:val="IntenseQuote"/>
    <w:uiPriority w:val="30"/>
    <w:qFormat/>
    <w:rsid w:val="00CD55CA"/>
    <w:rPr>
      <w:i/>
      <w:iCs/>
      <w:color w:val="0F4761" w:themeColor="accent1" w:themeShade="BF"/>
    </w:rPr>
  </w:style>
  <w:style w:type="character" w:styleId="IntenseReference">
    <w:name w:val="Intense Reference"/>
    <w:basedOn w:val="DefaultParagraphFont"/>
    <w:uiPriority w:val="32"/>
    <w:qFormat/>
    <w:rsid w:val="00CD55CA"/>
    <w:rPr>
      <w:b/>
      <w:bCs/>
      <w:smallCaps/>
      <w:color w:val="0F4761" w:themeColor="accent1" w:themeShade="BF"/>
      <w:spacing w:val="5"/>
    </w:rPr>
  </w:style>
  <w:style w:type="character" w:customStyle="1" w:styleId="HeaderChar">
    <w:name w:val="Header Char"/>
    <w:basedOn w:val="DefaultParagraphFont"/>
    <w:link w:val="Header"/>
    <w:uiPriority w:val="99"/>
    <w:qFormat/>
    <w:rsid w:val="009076B4"/>
  </w:style>
  <w:style w:type="character" w:customStyle="1" w:styleId="FooterChar">
    <w:name w:val="Footer Char"/>
    <w:basedOn w:val="DefaultParagraphFont"/>
    <w:link w:val="Footer"/>
    <w:uiPriority w:val="99"/>
    <w:qFormat/>
    <w:rsid w:val="009076B4"/>
  </w:style>
  <w:style w:type="character" w:styleId="Hyperlink">
    <w:name w:val="Hyperlink"/>
    <w:basedOn w:val="DefaultParagraphFont"/>
    <w:uiPriority w:val="99"/>
    <w:unhideWhenUsed/>
    <w:rsid w:val="00113820"/>
    <w:rPr>
      <w:color w:val="467886" w:themeColor="hyperlink"/>
      <w:u w:val="single"/>
    </w:rPr>
  </w:style>
  <w:style w:type="character" w:styleId="UnresolvedMention">
    <w:name w:val="Unresolved Mention"/>
    <w:basedOn w:val="DefaultParagraphFont"/>
    <w:uiPriority w:val="99"/>
    <w:semiHidden/>
    <w:unhideWhenUsed/>
    <w:qFormat/>
    <w:rsid w:val="00A87B8D"/>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CD55CA"/>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CD55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55CA"/>
    <w:pPr>
      <w:spacing w:before="160"/>
      <w:jc w:val="center"/>
    </w:pPr>
    <w:rPr>
      <w:i/>
      <w:iCs/>
      <w:color w:val="404040" w:themeColor="text1" w:themeTint="BF"/>
    </w:rPr>
  </w:style>
  <w:style w:type="paragraph" w:styleId="ListParagraph">
    <w:name w:val="List Paragraph"/>
    <w:basedOn w:val="Normal"/>
    <w:uiPriority w:val="34"/>
    <w:qFormat/>
    <w:rsid w:val="00CD55CA"/>
    <w:pPr>
      <w:ind w:left="720"/>
      <w:contextualSpacing/>
    </w:pPr>
  </w:style>
  <w:style w:type="paragraph" w:styleId="IntenseQuote">
    <w:name w:val="Intense Quote"/>
    <w:basedOn w:val="Normal"/>
    <w:next w:val="Normal"/>
    <w:link w:val="IntenseQuoteChar"/>
    <w:uiPriority w:val="30"/>
    <w:qFormat/>
    <w:rsid w:val="00CD55CA"/>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customStyle="1" w:styleId="HeaderandFooter">
    <w:name w:val="Header and Footer"/>
    <w:basedOn w:val="Normal"/>
    <w:qFormat/>
  </w:style>
  <w:style w:type="paragraph" w:styleId="Header">
    <w:name w:val="header"/>
    <w:basedOn w:val="Normal"/>
    <w:link w:val="HeaderChar"/>
    <w:uiPriority w:val="99"/>
    <w:unhideWhenUsed/>
    <w:rsid w:val="009076B4"/>
    <w:pPr>
      <w:tabs>
        <w:tab w:val="center" w:pos="4680"/>
        <w:tab w:val="right" w:pos="9360"/>
      </w:tabs>
      <w:spacing w:after="0" w:line="240" w:lineRule="auto"/>
    </w:pPr>
  </w:style>
  <w:style w:type="paragraph" w:styleId="Footer">
    <w:name w:val="footer"/>
    <w:basedOn w:val="Normal"/>
    <w:link w:val="FooterChar"/>
    <w:uiPriority w:val="99"/>
    <w:unhideWhenUsed/>
    <w:rsid w:val="009076B4"/>
    <w:pPr>
      <w:tabs>
        <w:tab w:val="center" w:pos="4680"/>
        <w:tab w:val="right" w:pos="9360"/>
      </w:tabs>
      <w:spacing w:after="0" w:line="240" w:lineRule="auto"/>
    </w:pPr>
  </w:style>
  <w:style w:type="paragraph" w:customStyle="1" w:styleId="FrameContents">
    <w:name w:val="Frame Contents"/>
    <w:basedOn w:val="Normal"/>
    <w:qFormat/>
    <w:rsid w:val="00113820"/>
    <w:pPr>
      <w:widowControl w:val="0"/>
      <w:spacing w:after="0" w:line="300" w:lineRule="exact"/>
      <w:contextualSpacing/>
    </w:pPr>
    <w:rPr>
      <w:rFonts w:ascii="Arial" w:hAnsi="Arial" w:cs="Arial"/>
      <w:kern w:val="0"/>
      <w:sz w:val="20"/>
      <w:szCs w:val="20"/>
      <w:lang w:val="ro-RO"/>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pa-group.r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tpa-group.ro/ro/r/publications/newsletter-subscrip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10f5ff-a807-4332-9197-2c4399720451" xsi:nil="true"/>
    <lcf76f155ced4ddcb4097134ff3c332f xmlns="262ed8ec-f177-4917-9f70-d8664a63052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56503842F0F44CA4530B306D585C87" ma:contentTypeVersion="19" ma:contentTypeDescription="Create a new document." ma:contentTypeScope="" ma:versionID="f7ce9122593b97324584f66afc456bba">
  <xsd:schema xmlns:xsd="http://www.w3.org/2001/XMLSchema" xmlns:xs="http://www.w3.org/2001/XMLSchema" xmlns:p="http://schemas.microsoft.com/office/2006/metadata/properties" xmlns:ns2="8b10f5ff-a807-4332-9197-2c4399720451" xmlns:ns3="262ed8ec-f177-4917-9f70-d8664a630528" targetNamespace="http://schemas.microsoft.com/office/2006/metadata/properties" ma:root="true" ma:fieldsID="4eb98ce78762f7efecc0733a94a8a2d9" ns2:_="" ns3:_="">
    <xsd:import namespace="8b10f5ff-a807-4332-9197-2c4399720451"/>
    <xsd:import namespace="262ed8ec-f177-4917-9f70-d8664a6305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0f5ff-a807-4332-9197-2c439972045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cd476d7-685a-49e5-bf9c-aa9c57423b77}" ma:internalName="TaxCatchAll" ma:showField="CatchAllData" ma:web="8b10f5ff-a807-4332-9197-2c43997204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2ed8ec-f177-4917-9f70-d8664a6305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0dc6842-2eec-463e-9001-84cb9032c9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E8D88F-B7CB-4B6A-B581-27FC87D895E3}">
  <ds:schemaRefs>
    <ds:schemaRef ds:uri="http://schemas.microsoft.com/office/2006/metadata/properties"/>
    <ds:schemaRef ds:uri="http://schemas.microsoft.com/office/infopath/2007/PartnerControls"/>
    <ds:schemaRef ds:uri="8b10f5ff-a807-4332-9197-2c4399720451"/>
    <ds:schemaRef ds:uri="262ed8ec-f177-4917-9f70-d8664a630528"/>
  </ds:schemaRefs>
</ds:datastoreItem>
</file>

<file path=customXml/itemProps2.xml><?xml version="1.0" encoding="utf-8"?>
<ds:datastoreItem xmlns:ds="http://schemas.openxmlformats.org/officeDocument/2006/customXml" ds:itemID="{69E49228-8A5E-4222-8284-CADC029F0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10f5ff-a807-4332-9197-2c4399720451"/>
    <ds:schemaRef ds:uri="262ed8ec-f177-4917-9f70-d8664a6305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8B0AAC-3629-4913-B940-7D9615D2F4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2413</Words>
  <Characters>13759</Characters>
  <Application>Microsoft Office Word</Application>
  <DocSecurity>4</DocSecurity>
  <Lines>114</Lines>
  <Paragraphs>32</Paragraphs>
  <ScaleCrop>false</ScaleCrop>
  <Company/>
  <LinksUpToDate>false</LinksUpToDate>
  <CharactersWithSpaces>16140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TPA (AF)</dc:creator>
  <dc:description/>
  <cp:lastModifiedBy>Mihaela Vladescu</cp:lastModifiedBy>
  <cp:revision>2</cp:revision>
  <dcterms:created xsi:type="dcterms:W3CDTF">2026-07-10T09:20:00Z</dcterms:created>
  <dcterms:modified xsi:type="dcterms:W3CDTF">2026-07-10T09:20:00Z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0x0101000356503842F0F44CA4530B306D585C87</vt:lpwstr>
  </property>
  <property fmtid="{D5CDD505-2E9C-101B-9397-08002B2CF9AE}" pid="3" name="docLang">
    <vt:lpwstr>en</vt:lpwstr>
  </property>
  <property fmtid="{D5CDD505-2E9C-101B-9397-08002B2CF9AE}" pid="4" name="MediaServiceImageTags">
    <vt:lpwstr/>
  </property>
</Properties>
</file>