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CE94F" w14:textId="77777777" w:rsidR="008E33AD" w:rsidRDefault="008E33AD" w:rsidP="00AF2568">
      <w:pPr>
        <w:pStyle w:val="Header"/>
        <w:jc w:val="both"/>
        <w:rPr>
          <w:rFonts w:ascii="Arial" w:hAnsi="Arial" w:cs="Arial"/>
          <w:b/>
          <w:color w:val="59595B"/>
          <w:sz w:val="28"/>
          <w:szCs w:val="28"/>
          <w:lang w:val="ro-RO"/>
        </w:rPr>
      </w:pPr>
      <w:bookmarkStart w:id="0" w:name="_Hlk216952911"/>
    </w:p>
    <w:p w14:paraId="2D28763E" w14:textId="77777777" w:rsidR="00F15E31" w:rsidRDefault="00F15E31" w:rsidP="00AF2568">
      <w:pPr>
        <w:pStyle w:val="Header"/>
        <w:jc w:val="both"/>
        <w:rPr>
          <w:rFonts w:ascii="Arial" w:hAnsi="Arial" w:cs="Arial"/>
          <w:b/>
          <w:color w:val="59595B"/>
          <w:sz w:val="28"/>
          <w:szCs w:val="28"/>
          <w:lang w:val="ro-RO"/>
        </w:rPr>
      </w:pPr>
    </w:p>
    <w:p w14:paraId="7E513536" w14:textId="7AC3307F" w:rsidR="00AF2568" w:rsidRPr="00697347" w:rsidRDefault="00AF2568" w:rsidP="00AF2568">
      <w:pPr>
        <w:pStyle w:val="Header"/>
        <w:jc w:val="both"/>
        <w:rPr>
          <w:rFonts w:ascii="Arial" w:hAnsi="Arial" w:cs="Arial"/>
          <w:b/>
          <w:color w:val="59595B"/>
          <w:sz w:val="28"/>
          <w:szCs w:val="28"/>
          <w:lang w:val="ro-RO"/>
        </w:rPr>
      </w:pPr>
      <w:r w:rsidRPr="00697347">
        <w:rPr>
          <w:rFonts w:ascii="Arial" w:hAnsi="Arial" w:cs="Arial"/>
          <w:b/>
          <w:color w:val="59595B"/>
          <w:sz w:val="28"/>
          <w:szCs w:val="28"/>
          <w:lang w:val="ro-RO"/>
        </w:rPr>
        <w:t xml:space="preserve">Tax </w:t>
      </w:r>
      <w:r w:rsidR="008E33AD">
        <w:rPr>
          <w:rFonts w:ascii="Arial" w:hAnsi="Arial" w:cs="Arial"/>
          <w:b/>
          <w:color w:val="59595B"/>
          <w:sz w:val="28"/>
          <w:szCs w:val="28"/>
          <w:lang w:val="ro-RO"/>
        </w:rPr>
        <w:t>Alert</w:t>
      </w:r>
      <w:r w:rsidRPr="00697347">
        <w:rPr>
          <w:rFonts w:ascii="Arial" w:hAnsi="Arial" w:cs="Arial"/>
          <w:b/>
          <w:color w:val="59595B"/>
          <w:sz w:val="28"/>
          <w:szCs w:val="28"/>
          <w:lang w:val="ro-RO"/>
        </w:rPr>
        <w:t xml:space="preserve"> </w:t>
      </w:r>
      <w:r w:rsidR="008E33AD">
        <w:rPr>
          <w:rFonts w:ascii="Arial" w:hAnsi="Arial" w:cs="Arial"/>
          <w:b/>
          <w:color w:val="59595B"/>
          <w:sz w:val="28"/>
          <w:szCs w:val="28"/>
          <w:lang w:val="ro-RO"/>
        </w:rPr>
        <w:t xml:space="preserve">Iulie </w:t>
      </w:r>
      <w:r w:rsidRPr="00697347">
        <w:rPr>
          <w:rFonts w:ascii="Arial" w:hAnsi="Arial" w:cs="Arial"/>
          <w:b/>
          <w:color w:val="59595B"/>
          <w:sz w:val="28"/>
          <w:szCs w:val="28"/>
          <w:lang w:val="ro-RO"/>
        </w:rPr>
        <w:t>202</w:t>
      </w:r>
      <w:r w:rsidR="00A1454B">
        <w:rPr>
          <w:rFonts w:ascii="Arial" w:hAnsi="Arial" w:cs="Arial"/>
          <w:b/>
          <w:color w:val="59595B"/>
          <w:sz w:val="28"/>
          <w:szCs w:val="28"/>
          <w:lang w:val="ro-RO"/>
        </w:rPr>
        <w:t>6</w:t>
      </w:r>
    </w:p>
    <w:bookmarkEnd w:id="0"/>
    <w:p w14:paraId="71D89DF4" w14:textId="77777777" w:rsidR="009E0BD7" w:rsidRPr="00F15E31" w:rsidRDefault="009E0BD7" w:rsidP="009E0BD7">
      <w:pPr>
        <w:jc w:val="both"/>
        <w:rPr>
          <w:rFonts w:ascii="Arial" w:eastAsia="Calibri" w:hAnsi="Arial" w:cs="Arial"/>
          <w:b/>
          <w:bCs/>
          <w:color w:val="005233"/>
          <w:kern w:val="0"/>
          <w:sz w:val="22"/>
          <w:szCs w:val="22"/>
          <w:lang w:val="ro-RO"/>
          <w14:ligatures w14:val="none"/>
        </w:rPr>
      </w:pPr>
    </w:p>
    <w:p w14:paraId="743E2072" w14:textId="77777777" w:rsidR="00C17F34" w:rsidRPr="00F15E31" w:rsidRDefault="00C17F34" w:rsidP="00C17F34">
      <w:pPr>
        <w:widowControl w:val="0"/>
        <w:numPr>
          <w:ilvl w:val="0"/>
          <w:numId w:val="34"/>
        </w:numPr>
        <w:tabs>
          <w:tab w:val="center" w:pos="4680"/>
          <w:tab w:val="right" w:pos="9360"/>
        </w:tabs>
        <w:contextualSpacing/>
        <w:jc w:val="both"/>
        <w:rPr>
          <w:rFonts w:ascii="Arial" w:eastAsia="Calibri" w:hAnsi="Arial" w:cs="Arial"/>
          <w:color w:val="005233"/>
          <w:sz w:val="22"/>
          <w:szCs w:val="28"/>
          <w:u w:val="single"/>
        </w:rPr>
      </w:pPr>
      <w:r w:rsidRPr="00F15E31">
        <w:rPr>
          <w:rFonts w:ascii="Arial" w:eastAsia="Calibri" w:hAnsi="Arial" w:cs="Arial"/>
          <w:b/>
          <w:bCs/>
          <w:color w:val="005233"/>
          <w:sz w:val="22"/>
          <w:szCs w:val="28"/>
          <w:u w:val="single"/>
        </w:rPr>
        <w:t xml:space="preserve">Noi reguli </w:t>
      </w:r>
      <w:proofErr w:type="spellStart"/>
      <w:r w:rsidRPr="00F15E31">
        <w:rPr>
          <w:rFonts w:ascii="Arial" w:eastAsia="Calibri" w:hAnsi="Arial" w:cs="Arial"/>
          <w:b/>
          <w:bCs/>
          <w:color w:val="005233"/>
          <w:sz w:val="22"/>
          <w:szCs w:val="28"/>
          <w:u w:val="single"/>
        </w:rPr>
        <w:t>privind</w:t>
      </w:r>
      <w:proofErr w:type="spellEnd"/>
      <w:r w:rsidRPr="00F15E31">
        <w:rPr>
          <w:rFonts w:ascii="Arial" w:eastAsia="Calibri" w:hAnsi="Arial" w:cs="Arial"/>
          <w:b/>
          <w:bCs/>
          <w:color w:val="005233"/>
          <w:sz w:val="22"/>
          <w:szCs w:val="28"/>
          <w:u w:val="single"/>
        </w:rPr>
        <w:t xml:space="preserve"> </w:t>
      </w:r>
      <w:proofErr w:type="spellStart"/>
      <w:r w:rsidRPr="00F15E31">
        <w:rPr>
          <w:rFonts w:ascii="Arial" w:eastAsia="Calibri" w:hAnsi="Arial" w:cs="Arial"/>
          <w:b/>
          <w:bCs/>
          <w:color w:val="005233"/>
          <w:sz w:val="22"/>
          <w:szCs w:val="28"/>
          <w:u w:val="single"/>
        </w:rPr>
        <w:t>documentația</w:t>
      </w:r>
      <w:proofErr w:type="spellEnd"/>
      <w:r w:rsidRPr="00F15E31">
        <w:rPr>
          <w:rFonts w:ascii="Arial" w:eastAsia="Calibri" w:hAnsi="Arial" w:cs="Arial"/>
          <w:b/>
          <w:bCs/>
          <w:color w:val="005233"/>
          <w:sz w:val="22"/>
          <w:szCs w:val="28"/>
          <w:u w:val="single"/>
        </w:rPr>
        <w:t xml:space="preserve"> </w:t>
      </w:r>
      <w:proofErr w:type="spellStart"/>
      <w:r w:rsidRPr="00F15E31">
        <w:rPr>
          <w:rFonts w:ascii="Arial" w:eastAsia="Calibri" w:hAnsi="Arial" w:cs="Arial"/>
          <w:b/>
          <w:bCs/>
          <w:color w:val="005233"/>
          <w:sz w:val="22"/>
          <w:szCs w:val="28"/>
          <w:u w:val="single"/>
        </w:rPr>
        <w:t>prețurilor</w:t>
      </w:r>
      <w:proofErr w:type="spellEnd"/>
      <w:r w:rsidRPr="00F15E31">
        <w:rPr>
          <w:rFonts w:ascii="Arial" w:eastAsia="Calibri" w:hAnsi="Arial" w:cs="Arial"/>
          <w:b/>
          <w:bCs/>
          <w:color w:val="005233"/>
          <w:sz w:val="22"/>
          <w:szCs w:val="28"/>
          <w:u w:val="single"/>
        </w:rPr>
        <w:t xml:space="preserve"> de transfer: </w:t>
      </w:r>
      <w:proofErr w:type="spellStart"/>
      <w:r w:rsidRPr="00F15E31">
        <w:rPr>
          <w:rFonts w:ascii="Arial" w:eastAsia="Calibri" w:hAnsi="Arial" w:cs="Arial"/>
          <w:b/>
          <w:bCs/>
          <w:color w:val="005233"/>
          <w:sz w:val="22"/>
          <w:szCs w:val="28"/>
          <w:u w:val="single"/>
        </w:rPr>
        <w:t>Ordinul</w:t>
      </w:r>
      <w:proofErr w:type="spellEnd"/>
      <w:r w:rsidRPr="00F15E31">
        <w:rPr>
          <w:rFonts w:ascii="Arial" w:eastAsia="Calibri" w:hAnsi="Arial" w:cs="Arial"/>
          <w:b/>
          <w:bCs/>
          <w:color w:val="005233"/>
          <w:sz w:val="22"/>
          <w:szCs w:val="28"/>
          <w:u w:val="single"/>
        </w:rPr>
        <w:t xml:space="preserve"> ANAF nr. 828/2026 </w:t>
      </w:r>
    </w:p>
    <w:p w14:paraId="0E6FB58B" w14:textId="77777777" w:rsidR="00C17F34" w:rsidRPr="0024559D" w:rsidRDefault="00C17F34" w:rsidP="00C17F34">
      <w:pPr>
        <w:widowControl w:val="0"/>
        <w:contextualSpacing/>
        <w:jc w:val="both"/>
        <w:rPr>
          <w:rFonts w:ascii="Arial" w:eastAsia="Calibri" w:hAnsi="Arial" w:cs="Arial"/>
          <w:sz w:val="20"/>
          <w:szCs w:val="20"/>
          <w:lang w:val="ro-RO"/>
        </w:rPr>
      </w:pPr>
    </w:p>
    <w:p w14:paraId="6E946059" w14:textId="77777777" w:rsidR="00C17F34" w:rsidRPr="0024559D" w:rsidRDefault="00C17F34" w:rsidP="00C17F34">
      <w:pPr>
        <w:widowControl w:val="0"/>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Ordinul nr. 828/2026 înlocuiește integral Ordinul nr. 442/2016 și </w:t>
      </w:r>
      <w:r w:rsidRPr="0024559D">
        <w:rPr>
          <w:rFonts w:ascii="Arial" w:eastAsia="Calibri" w:hAnsi="Arial" w:cs="Arial"/>
          <w:bCs/>
          <w:sz w:val="20"/>
          <w:szCs w:val="20"/>
          <w:lang w:val="ro-RO"/>
        </w:rPr>
        <w:t>propune cea mai amplă revizuire a regulilor privind documentarea prețurilor de transfer din ultimii ani.</w:t>
      </w:r>
    </w:p>
    <w:p w14:paraId="4D4121C7" w14:textId="77777777" w:rsidR="00C17F34" w:rsidRPr="0024559D" w:rsidRDefault="00C17F34" w:rsidP="00C17F34">
      <w:pPr>
        <w:widowControl w:val="0"/>
        <w:contextualSpacing/>
        <w:jc w:val="both"/>
        <w:rPr>
          <w:rFonts w:ascii="Arial" w:eastAsia="Calibri" w:hAnsi="Arial" w:cs="Arial"/>
          <w:b/>
          <w:bCs/>
          <w:sz w:val="20"/>
          <w:szCs w:val="20"/>
          <w:lang w:val="ro-RO"/>
        </w:rPr>
      </w:pPr>
    </w:p>
    <w:p w14:paraId="56B9BB6A" w14:textId="77777777" w:rsidR="00C17F34" w:rsidRPr="0024559D" w:rsidRDefault="00C17F34" w:rsidP="00C17F34">
      <w:pPr>
        <w:widowControl w:val="0"/>
        <w:contextualSpacing/>
        <w:jc w:val="both"/>
        <w:rPr>
          <w:rFonts w:ascii="Arial" w:eastAsia="Calibri" w:hAnsi="Arial" w:cs="Arial"/>
          <w:bCs/>
          <w:sz w:val="20"/>
          <w:szCs w:val="20"/>
          <w:lang w:val="ro-RO"/>
        </w:rPr>
      </w:pPr>
      <w:r w:rsidRPr="0024559D">
        <w:rPr>
          <w:rFonts w:ascii="Arial" w:eastAsia="Calibri" w:hAnsi="Arial" w:cs="Arial"/>
          <w:bCs/>
          <w:sz w:val="20"/>
          <w:szCs w:val="20"/>
          <w:lang w:val="ro-RO"/>
        </w:rPr>
        <w:t>Noile reguli se vor aplica tranzacțiilor desfășurate începând cu 1 ianuarie 2026, precum și procedurilor de administrare fiscală inițiate începând cu 1 ianuarie 2027.</w:t>
      </w:r>
    </w:p>
    <w:p w14:paraId="2E57AF78" w14:textId="77777777" w:rsidR="00C17F34" w:rsidRPr="0024559D" w:rsidRDefault="00C17F34" w:rsidP="00C17F34">
      <w:pPr>
        <w:widowControl w:val="0"/>
        <w:contextualSpacing/>
        <w:jc w:val="both"/>
        <w:rPr>
          <w:rFonts w:ascii="Arial" w:eastAsia="Calibri" w:hAnsi="Arial" w:cs="Arial"/>
          <w:bCs/>
          <w:sz w:val="20"/>
          <w:szCs w:val="20"/>
          <w:lang w:val="ro-RO"/>
        </w:rPr>
      </w:pPr>
    </w:p>
    <w:p w14:paraId="3745B5F2" w14:textId="36DBD665" w:rsidR="00436228" w:rsidRPr="00436228" w:rsidRDefault="00C17F34" w:rsidP="00436228">
      <w:pPr>
        <w:widowControl w:val="0"/>
        <w:contextualSpacing/>
        <w:jc w:val="both"/>
        <w:rPr>
          <w:rFonts w:ascii="Arial" w:eastAsia="Calibri" w:hAnsi="Arial" w:cs="Arial"/>
          <w:bCs/>
          <w:sz w:val="20"/>
          <w:szCs w:val="20"/>
          <w:lang w:val="ro-RO"/>
        </w:rPr>
      </w:pPr>
      <w:r w:rsidRPr="0024559D">
        <w:rPr>
          <w:rFonts w:ascii="Arial" w:eastAsia="Calibri" w:hAnsi="Arial" w:cs="Arial"/>
          <w:bCs/>
          <w:sz w:val="20"/>
          <w:szCs w:val="20"/>
          <w:lang w:val="ro-RO"/>
        </w:rPr>
        <w:t>Prezentăm mai jos cele mai importante modificări:</w:t>
      </w:r>
    </w:p>
    <w:p w14:paraId="2F2112F9" w14:textId="6B4C28A0" w:rsidR="00436228" w:rsidRPr="00436228" w:rsidRDefault="00436228" w:rsidP="00436228">
      <w:pPr>
        <w:pStyle w:val="ListParagraph"/>
        <w:widowControl w:val="0"/>
        <w:numPr>
          <w:ilvl w:val="0"/>
          <w:numId w:val="37"/>
        </w:numPr>
        <w:jc w:val="both"/>
        <w:rPr>
          <w:rFonts w:ascii="Arial" w:eastAsia="Calibri" w:hAnsi="Arial" w:cs="Arial"/>
          <w:b/>
          <w:bCs/>
          <w:color w:val="76923C"/>
          <w:sz w:val="20"/>
          <w:szCs w:val="20"/>
          <w:lang w:val="ro-RO"/>
        </w:rPr>
      </w:pPr>
      <w:r w:rsidRPr="0024559D">
        <w:rPr>
          <w:rFonts w:ascii="Arial" w:eastAsia="Calibri" w:hAnsi="Arial" w:cs="Arial"/>
          <w:b/>
          <w:bCs/>
          <w:color w:val="76923C"/>
          <w:sz w:val="20"/>
          <w:szCs w:val="20"/>
          <w:lang w:val="ro-RO"/>
        </w:rPr>
        <w:t>Praguri și obligații de documentare</w:t>
      </w:r>
    </w:p>
    <w:p w14:paraId="47F117BB" w14:textId="08F381F7" w:rsidR="00436228" w:rsidRPr="0024559D" w:rsidRDefault="00436228" w:rsidP="00436228">
      <w:pPr>
        <w:widowControl w:val="0"/>
        <w:jc w:val="both"/>
        <w:rPr>
          <w:rFonts w:ascii="Arial" w:eastAsia="Times New Roman" w:hAnsi="Arial" w:cs="Arial"/>
          <w:sz w:val="20"/>
          <w:szCs w:val="20"/>
          <w:lang w:val="ro-RO"/>
        </w:rPr>
      </w:pPr>
      <w:r w:rsidRPr="0024559D">
        <w:rPr>
          <w:rFonts w:ascii="Arial" w:eastAsia="Calibri" w:hAnsi="Arial" w:cs="Arial"/>
          <w:bCs/>
          <w:sz w:val="20"/>
          <w:szCs w:val="20"/>
          <w:lang w:val="ro-RO"/>
        </w:rPr>
        <w:t>O modificare semnificativă adusă de Ordinul nr. 828/2026 vizează modul de aplicare a pragurilor de semnificație, acestea urmând să fie analizate distinct pentru fiecare persoană afiliată și pentru fiecare categorie de tranzacție. De asemenea, Ordinul revizuiește pragurile aplicabile contribuabililor mari și contribuabililor mici și mijlocii, după cum urmează</w:t>
      </w:r>
      <w:r w:rsidRPr="0024559D">
        <w:rPr>
          <w:rFonts w:ascii="Arial" w:eastAsia="Times New Roman" w:hAnsi="Arial" w:cs="Arial"/>
          <w:sz w:val="20"/>
          <w:szCs w:val="20"/>
          <w:lang w:val="ro-RO"/>
        </w:rPr>
        <w:t>:</w:t>
      </w:r>
    </w:p>
    <w:p w14:paraId="07282F3D" w14:textId="77777777" w:rsidR="00436228" w:rsidRPr="0024559D" w:rsidRDefault="00436228" w:rsidP="00436228">
      <w:pPr>
        <w:widowControl w:val="0"/>
        <w:contextualSpacing/>
        <w:jc w:val="both"/>
        <w:rPr>
          <w:rFonts w:ascii="Arial" w:eastAsia="Calibri" w:hAnsi="Arial" w:cs="Arial"/>
          <w:b/>
          <w:bCs/>
          <w:sz w:val="20"/>
          <w:szCs w:val="20"/>
          <w:lang w:val="ro-RO"/>
        </w:rPr>
      </w:pPr>
      <w:r w:rsidRPr="0024559D">
        <w:rPr>
          <w:rFonts w:ascii="Arial" w:eastAsia="Calibri" w:hAnsi="Arial" w:cs="Arial"/>
          <w:b/>
          <w:bCs/>
          <w:sz w:val="20"/>
          <w:szCs w:val="20"/>
          <w:lang w:val="ro-RO"/>
        </w:rPr>
        <w:t>Contribuabili mari</w:t>
      </w:r>
    </w:p>
    <w:p w14:paraId="2BA8E385" w14:textId="77777777" w:rsidR="00436228" w:rsidRPr="0024559D" w:rsidRDefault="00436228" w:rsidP="00436228">
      <w:pPr>
        <w:widowControl w:val="0"/>
        <w:contextualSpacing/>
        <w:jc w:val="both"/>
        <w:rPr>
          <w:rFonts w:ascii="Arial" w:eastAsia="Calibri" w:hAnsi="Arial" w:cs="Arial"/>
          <w:b/>
          <w:bCs/>
          <w:sz w:val="20"/>
          <w:szCs w:val="20"/>
          <w:lang w:val="ro-RO"/>
        </w:rPr>
      </w:pPr>
    </w:p>
    <w:p w14:paraId="092D2D2D" w14:textId="77777777" w:rsidR="00436228" w:rsidRPr="0024559D" w:rsidRDefault="00436228" w:rsidP="00436228">
      <w:pPr>
        <w:widowControl w:val="0"/>
        <w:numPr>
          <w:ilvl w:val="0"/>
          <w:numId w:val="35"/>
        </w:numPr>
        <w:contextualSpacing/>
        <w:jc w:val="both"/>
        <w:rPr>
          <w:rFonts w:ascii="Arial" w:eastAsia="Times New Roman" w:hAnsi="Arial" w:cs="Arial"/>
          <w:sz w:val="20"/>
          <w:szCs w:val="20"/>
          <w:lang w:val="ro-RO"/>
        </w:rPr>
      </w:pPr>
      <w:r w:rsidRPr="0024559D">
        <w:rPr>
          <w:rFonts w:ascii="Arial" w:eastAsia="Times New Roman" w:hAnsi="Arial" w:cs="Arial"/>
          <w:b/>
          <w:bCs/>
          <w:sz w:val="20"/>
          <w:szCs w:val="20"/>
          <w:lang w:val="ro-RO"/>
        </w:rPr>
        <w:t xml:space="preserve">100.000 Euro </w:t>
      </w:r>
      <w:r w:rsidRPr="0024559D">
        <w:rPr>
          <w:rFonts w:ascii="Arial" w:eastAsia="Times New Roman" w:hAnsi="Arial" w:cs="Arial"/>
          <w:sz w:val="20"/>
          <w:szCs w:val="20"/>
          <w:lang w:val="ro-RO"/>
        </w:rPr>
        <w:t>pentru tranzacțiile cu servicii (față de 250.000 Euro în reglementarea anterioară)</w:t>
      </w:r>
    </w:p>
    <w:p w14:paraId="252AD23E" w14:textId="77777777" w:rsidR="00436228" w:rsidRPr="0024559D" w:rsidRDefault="00436228" w:rsidP="00436228">
      <w:pPr>
        <w:widowControl w:val="0"/>
        <w:numPr>
          <w:ilvl w:val="0"/>
          <w:numId w:val="35"/>
        </w:numPr>
        <w:contextualSpacing/>
        <w:jc w:val="both"/>
        <w:rPr>
          <w:rFonts w:ascii="Arial" w:eastAsia="Times New Roman" w:hAnsi="Arial" w:cs="Arial"/>
          <w:sz w:val="20"/>
          <w:szCs w:val="20"/>
          <w:lang w:val="ro-RO"/>
        </w:rPr>
      </w:pPr>
      <w:r w:rsidRPr="0024559D">
        <w:rPr>
          <w:rFonts w:ascii="Arial" w:eastAsia="Times New Roman" w:hAnsi="Arial" w:cs="Arial"/>
          <w:b/>
          <w:bCs/>
          <w:sz w:val="20"/>
          <w:szCs w:val="20"/>
          <w:lang w:val="ro-RO"/>
        </w:rPr>
        <w:t xml:space="preserve">200.000 Euro </w:t>
      </w:r>
      <w:r w:rsidRPr="0024559D">
        <w:rPr>
          <w:rFonts w:ascii="Arial" w:eastAsia="Times New Roman" w:hAnsi="Arial" w:cs="Arial"/>
          <w:sz w:val="20"/>
          <w:szCs w:val="20"/>
          <w:lang w:val="ro-RO"/>
        </w:rPr>
        <w:t>pentru tranzacțiile de finanțare care generează venituri sau cheltuieli din dobânzi</w:t>
      </w:r>
    </w:p>
    <w:p w14:paraId="76D06585" w14:textId="77777777" w:rsidR="00436228" w:rsidRPr="0024559D" w:rsidRDefault="00436228" w:rsidP="00436228">
      <w:pPr>
        <w:widowControl w:val="0"/>
        <w:numPr>
          <w:ilvl w:val="0"/>
          <w:numId w:val="35"/>
        </w:numPr>
        <w:contextualSpacing/>
        <w:jc w:val="both"/>
        <w:rPr>
          <w:rFonts w:ascii="Arial" w:eastAsia="Times New Roman" w:hAnsi="Arial" w:cs="Arial"/>
          <w:sz w:val="20"/>
          <w:szCs w:val="20"/>
          <w:lang w:val="ro-RO"/>
        </w:rPr>
      </w:pPr>
      <w:r w:rsidRPr="0024559D">
        <w:rPr>
          <w:rFonts w:ascii="Arial" w:eastAsia="Times New Roman" w:hAnsi="Arial" w:cs="Arial"/>
          <w:b/>
          <w:bCs/>
          <w:sz w:val="20"/>
          <w:szCs w:val="20"/>
          <w:lang w:val="ro-RO"/>
        </w:rPr>
        <w:t xml:space="preserve">250.000 Euro </w:t>
      </w:r>
      <w:r w:rsidRPr="0024559D">
        <w:rPr>
          <w:rFonts w:ascii="Arial" w:eastAsia="Times New Roman" w:hAnsi="Arial" w:cs="Arial"/>
          <w:sz w:val="20"/>
          <w:szCs w:val="20"/>
          <w:lang w:val="ro-RO"/>
        </w:rPr>
        <w:t>pentru tranzacțiile cu active necorporale, inclusiv redevențe</w:t>
      </w:r>
    </w:p>
    <w:p w14:paraId="54E40DCB" w14:textId="1C3D9A74" w:rsidR="00436228" w:rsidRPr="00436228" w:rsidRDefault="00436228" w:rsidP="00436228">
      <w:pPr>
        <w:widowControl w:val="0"/>
        <w:numPr>
          <w:ilvl w:val="0"/>
          <w:numId w:val="35"/>
        </w:numPr>
        <w:contextualSpacing/>
        <w:jc w:val="both"/>
        <w:rPr>
          <w:rFonts w:ascii="Arial" w:eastAsia="Times New Roman" w:hAnsi="Arial" w:cs="Arial"/>
          <w:sz w:val="20"/>
          <w:szCs w:val="20"/>
          <w:lang w:val="ro-RO"/>
        </w:rPr>
      </w:pPr>
      <w:r w:rsidRPr="0024559D">
        <w:rPr>
          <w:rFonts w:ascii="Arial" w:eastAsia="Times New Roman" w:hAnsi="Arial" w:cs="Arial"/>
          <w:b/>
          <w:bCs/>
          <w:sz w:val="20"/>
          <w:szCs w:val="20"/>
          <w:lang w:val="ro-RO"/>
        </w:rPr>
        <w:t xml:space="preserve">350.000 Euro </w:t>
      </w:r>
      <w:r w:rsidRPr="0024559D">
        <w:rPr>
          <w:rFonts w:ascii="Arial" w:eastAsia="Times New Roman" w:hAnsi="Arial" w:cs="Arial"/>
          <w:sz w:val="20"/>
          <w:szCs w:val="20"/>
          <w:lang w:val="ro-RO"/>
        </w:rPr>
        <w:t>pentru tranzacțiile cu active corporale (prag menținut)</w:t>
      </w:r>
    </w:p>
    <w:p w14:paraId="308A0D8A" w14:textId="77777777" w:rsidR="00F15E31" w:rsidRDefault="00F15E31" w:rsidP="00436228">
      <w:pPr>
        <w:keepNext/>
        <w:widowControl w:val="0"/>
        <w:contextualSpacing/>
        <w:jc w:val="both"/>
        <w:rPr>
          <w:rFonts w:ascii="Arial" w:eastAsia="Calibri" w:hAnsi="Arial" w:cs="Arial"/>
          <w:b/>
          <w:bCs/>
          <w:sz w:val="20"/>
          <w:szCs w:val="20"/>
          <w:lang w:val="ro-RO"/>
        </w:rPr>
      </w:pPr>
    </w:p>
    <w:p w14:paraId="4BF2137D" w14:textId="7B4210C3" w:rsidR="00436228" w:rsidRPr="0024559D" w:rsidRDefault="00436228" w:rsidP="00436228">
      <w:pPr>
        <w:keepNext/>
        <w:widowControl w:val="0"/>
        <w:contextualSpacing/>
        <w:jc w:val="both"/>
        <w:rPr>
          <w:rFonts w:ascii="Arial" w:eastAsia="Calibri" w:hAnsi="Arial" w:cs="Arial"/>
          <w:b/>
          <w:bCs/>
          <w:sz w:val="20"/>
          <w:szCs w:val="20"/>
          <w:lang w:val="ro-RO"/>
        </w:rPr>
      </w:pPr>
      <w:r w:rsidRPr="0024559D">
        <w:rPr>
          <w:rFonts w:ascii="Arial" w:eastAsia="Calibri" w:hAnsi="Arial" w:cs="Arial"/>
          <w:b/>
          <w:bCs/>
          <w:sz w:val="20"/>
          <w:szCs w:val="20"/>
          <w:lang w:val="ro-RO"/>
        </w:rPr>
        <w:t>Contribuabili mici și mijlocii</w:t>
      </w:r>
    </w:p>
    <w:p w14:paraId="20E28E16" w14:textId="77777777" w:rsidR="00436228" w:rsidRPr="0024559D" w:rsidRDefault="00436228" w:rsidP="00436228">
      <w:pPr>
        <w:keepNext/>
        <w:widowControl w:val="0"/>
        <w:contextualSpacing/>
        <w:jc w:val="both"/>
        <w:rPr>
          <w:rFonts w:ascii="Arial" w:eastAsia="Calibri" w:hAnsi="Arial" w:cs="Arial"/>
          <w:b/>
          <w:bCs/>
          <w:sz w:val="20"/>
          <w:szCs w:val="20"/>
          <w:lang w:val="ro-RO"/>
        </w:rPr>
      </w:pPr>
    </w:p>
    <w:p w14:paraId="2E719625" w14:textId="77777777" w:rsidR="00436228" w:rsidRPr="0024559D" w:rsidRDefault="00436228" w:rsidP="00436228">
      <w:pPr>
        <w:widowControl w:val="0"/>
        <w:numPr>
          <w:ilvl w:val="0"/>
          <w:numId w:val="35"/>
        </w:numPr>
        <w:contextualSpacing/>
        <w:jc w:val="both"/>
        <w:rPr>
          <w:rFonts w:ascii="Arial" w:eastAsia="Times New Roman" w:hAnsi="Arial" w:cs="Arial"/>
          <w:sz w:val="20"/>
          <w:szCs w:val="20"/>
          <w:lang w:val="ro-RO"/>
        </w:rPr>
      </w:pPr>
      <w:r w:rsidRPr="0024559D">
        <w:rPr>
          <w:rFonts w:ascii="Arial" w:eastAsia="Times New Roman" w:hAnsi="Arial" w:cs="Arial"/>
          <w:b/>
          <w:bCs/>
          <w:sz w:val="20"/>
          <w:szCs w:val="20"/>
          <w:lang w:val="ro-RO"/>
        </w:rPr>
        <w:t xml:space="preserve">50.000 Euro </w:t>
      </w:r>
      <w:r w:rsidRPr="0024559D">
        <w:rPr>
          <w:rFonts w:ascii="Arial" w:eastAsia="Times New Roman" w:hAnsi="Arial" w:cs="Arial"/>
          <w:sz w:val="20"/>
          <w:szCs w:val="20"/>
          <w:lang w:val="ro-RO"/>
        </w:rPr>
        <w:t>pentru tranzacțiile cu servicii (prag menținut)</w:t>
      </w:r>
    </w:p>
    <w:p w14:paraId="655E391B" w14:textId="0223088E" w:rsidR="00436228" w:rsidRPr="00436228" w:rsidRDefault="00436228" w:rsidP="00436228">
      <w:pPr>
        <w:widowControl w:val="0"/>
        <w:numPr>
          <w:ilvl w:val="0"/>
          <w:numId w:val="35"/>
        </w:numPr>
        <w:contextualSpacing/>
        <w:jc w:val="both"/>
        <w:rPr>
          <w:rFonts w:ascii="Arial" w:eastAsia="Times New Roman" w:hAnsi="Arial" w:cs="Arial"/>
          <w:sz w:val="20"/>
          <w:szCs w:val="20"/>
          <w:lang w:val="ro-RO"/>
        </w:rPr>
      </w:pPr>
      <w:r w:rsidRPr="0024559D">
        <w:rPr>
          <w:rFonts w:ascii="Arial" w:eastAsia="Times New Roman" w:hAnsi="Arial" w:cs="Arial"/>
          <w:b/>
          <w:bCs/>
          <w:sz w:val="20"/>
          <w:szCs w:val="20"/>
          <w:lang w:val="ro-RO"/>
        </w:rPr>
        <w:t xml:space="preserve">100.000 Euro </w:t>
      </w:r>
      <w:r w:rsidRPr="0024559D">
        <w:rPr>
          <w:rFonts w:ascii="Arial" w:eastAsia="Times New Roman" w:hAnsi="Arial" w:cs="Arial"/>
          <w:sz w:val="20"/>
          <w:szCs w:val="20"/>
          <w:lang w:val="ro-RO"/>
        </w:rPr>
        <w:t>pentru tranzacțiile de finanțare care generează venituri sau cheltuieli din dobânzi (față de 50.000 Euro anterior)</w:t>
      </w:r>
    </w:p>
    <w:p w14:paraId="6AC1B8C4" w14:textId="77777777" w:rsidR="00436228" w:rsidRPr="0024559D" w:rsidRDefault="00436228" w:rsidP="00436228">
      <w:pPr>
        <w:widowControl w:val="0"/>
        <w:numPr>
          <w:ilvl w:val="0"/>
          <w:numId w:val="35"/>
        </w:numPr>
        <w:contextualSpacing/>
        <w:jc w:val="both"/>
        <w:rPr>
          <w:rFonts w:ascii="Arial" w:eastAsia="Times New Roman" w:hAnsi="Arial" w:cs="Arial"/>
          <w:sz w:val="20"/>
          <w:szCs w:val="20"/>
          <w:lang w:val="ro-RO"/>
        </w:rPr>
      </w:pPr>
      <w:r w:rsidRPr="0024559D">
        <w:rPr>
          <w:rFonts w:ascii="Arial" w:eastAsia="Times New Roman" w:hAnsi="Arial" w:cs="Arial"/>
          <w:b/>
          <w:bCs/>
          <w:sz w:val="20"/>
          <w:szCs w:val="20"/>
          <w:lang w:val="ro-RO"/>
        </w:rPr>
        <w:t xml:space="preserve">150.000 Euro </w:t>
      </w:r>
      <w:r w:rsidRPr="0024559D">
        <w:rPr>
          <w:rFonts w:ascii="Arial" w:eastAsia="Times New Roman" w:hAnsi="Arial" w:cs="Arial"/>
          <w:sz w:val="20"/>
          <w:szCs w:val="20"/>
          <w:lang w:val="ro-RO"/>
        </w:rPr>
        <w:t>pentru tranzacțiile cu active necorporale, inclusiv redevențe</w:t>
      </w:r>
    </w:p>
    <w:p w14:paraId="616FCF41" w14:textId="453BD18D" w:rsidR="00436228" w:rsidRPr="00436228" w:rsidRDefault="00436228" w:rsidP="00436228">
      <w:pPr>
        <w:widowControl w:val="0"/>
        <w:numPr>
          <w:ilvl w:val="0"/>
          <w:numId w:val="35"/>
        </w:numPr>
        <w:contextualSpacing/>
        <w:jc w:val="both"/>
        <w:rPr>
          <w:rFonts w:ascii="Arial" w:eastAsia="Times New Roman" w:hAnsi="Arial" w:cs="Arial"/>
          <w:sz w:val="20"/>
          <w:szCs w:val="20"/>
          <w:lang w:val="ro-RO"/>
        </w:rPr>
      </w:pPr>
      <w:r w:rsidRPr="0024559D">
        <w:rPr>
          <w:rFonts w:ascii="Arial" w:eastAsia="Times New Roman" w:hAnsi="Arial" w:cs="Arial"/>
          <w:b/>
          <w:bCs/>
          <w:sz w:val="20"/>
          <w:szCs w:val="20"/>
          <w:lang w:val="ro-RO"/>
        </w:rPr>
        <w:t>200.000 Euro</w:t>
      </w:r>
      <w:r w:rsidRPr="0024559D">
        <w:rPr>
          <w:rFonts w:ascii="Arial" w:eastAsia="Times New Roman" w:hAnsi="Arial" w:cs="Arial"/>
          <w:sz w:val="20"/>
          <w:szCs w:val="20"/>
          <w:lang w:val="ro-RO"/>
        </w:rPr>
        <w:t xml:space="preserve"> pentru tranzacțiile cu active corporale</w:t>
      </w:r>
    </w:p>
    <w:p w14:paraId="4DEE8C8F" w14:textId="2BEECDD3" w:rsidR="00436228" w:rsidRPr="00436228" w:rsidRDefault="00436228" w:rsidP="00436228">
      <w:pPr>
        <w:pStyle w:val="ListParagraph"/>
        <w:widowControl w:val="0"/>
        <w:numPr>
          <w:ilvl w:val="0"/>
          <w:numId w:val="37"/>
        </w:numPr>
        <w:jc w:val="both"/>
        <w:rPr>
          <w:rFonts w:ascii="Arial" w:eastAsia="Calibri" w:hAnsi="Arial" w:cs="Arial"/>
          <w:b/>
          <w:bCs/>
          <w:color w:val="76923C"/>
          <w:sz w:val="20"/>
          <w:szCs w:val="20"/>
          <w:lang w:val="ro-RO"/>
        </w:rPr>
      </w:pPr>
      <w:r w:rsidRPr="0024559D">
        <w:rPr>
          <w:rFonts w:ascii="Arial" w:eastAsia="Calibri" w:hAnsi="Arial" w:cs="Arial"/>
          <w:b/>
          <w:bCs/>
          <w:color w:val="76923C"/>
          <w:sz w:val="20"/>
          <w:szCs w:val="20"/>
          <w:lang w:val="ro-RO"/>
        </w:rPr>
        <w:t>Depunerea anuală a dosarului prețurilor de transfer prin intermediul platformei SPV</w:t>
      </w:r>
    </w:p>
    <w:p w14:paraId="53931913" w14:textId="77777777" w:rsidR="00436228" w:rsidRPr="0024559D" w:rsidRDefault="00436228" w:rsidP="00436228">
      <w:pPr>
        <w:widowControl w:val="0"/>
        <w:contextualSpacing/>
        <w:jc w:val="both"/>
        <w:rPr>
          <w:rFonts w:ascii="Arial" w:eastAsia="Calibri" w:hAnsi="Arial" w:cs="Arial"/>
          <w:iCs/>
          <w:sz w:val="20"/>
          <w:szCs w:val="20"/>
          <w:lang w:val="ro-RO"/>
        </w:rPr>
      </w:pPr>
      <w:r w:rsidRPr="0024559D">
        <w:rPr>
          <w:rFonts w:ascii="Arial" w:eastAsia="Calibri" w:hAnsi="Arial" w:cs="Arial"/>
          <w:iCs/>
          <w:sz w:val="20"/>
          <w:szCs w:val="20"/>
          <w:lang w:val="ro-RO"/>
        </w:rPr>
        <w:t xml:space="preserve">Pentru contribuabilii mari ale căror tranzacții cu persoane afiliate depășesc pragurile de semnificație prevăzute de </w:t>
      </w:r>
      <w:r w:rsidRPr="0024559D">
        <w:rPr>
          <w:rFonts w:ascii="Arial" w:eastAsia="Calibri" w:hAnsi="Arial" w:cs="Arial"/>
          <w:sz w:val="20"/>
          <w:szCs w:val="20"/>
          <w:lang w:val="ro-RO"/>
        </w:rPr>
        <w:t>Ordinul cu nr. 828/2026</w:t>
      </w:r>
      <w:r w:rsidRPr="0024559D">
        <w:rPr>
          <w:rFonts w:ascii="Arial" w:eastAsia="Calibri" w:hAnsi="Arial" w:cs="Arial"/>
          <w:iCs/>
          <w:sz w:val="20"/>
          <w:szCs w:val="20"/>
          <w:lang w:val="ro-RO"/>
        </w:rPr>
        <w:t>,</w:t>
      </w:r>
      <w:r w:rsidRPr="0024559D">
        <w:rPr>
          <w:rFonts w:ascii="Segoe UI" w:eastAsia="Times New Roman" w:hAnsi="Segoe UI" w:cs="Segoe UI"/>
          <w:sz w:val="21"/>
          <w:szCs w:val="21"/>
          <w:lang w:val="ro-RO"/>
        </w:rPr>
        <w:t xml:space="preserve"> </w:t>
      </w:r>
      <w:r w:rsidRPr="0024559D">
        <w:rPr>
          <w:rFonts w:ascii="Arial" w:eastAsia="Calibri" w:hAnsi="Arial" w:cs="Arial"/>
          <w:iCs/>
          <w:sz w:val="20"/>
          <w:szCs w:val="20"/>
          <w:lang w:val="ro-RO"/>
        </w:rPr>
        <w:t>se introduce o nouă obligație de depunere anuală a dosarului prețurilor de transfer, în format electronic, prin intermediul</w:t>
      </w:r>
      <w:r w:rsidRPr="0024559D">
        <w:rPr>
          <w:rFonts w:ascii="Segoe UI" w:eastAsia="Times New Roman" w:hAnsi="Segoe UI" w:cs="Segoe UI"/>
          <w:sz w:val="21"/>
          <w:szCs w:val="21"/>
          <w:lang w:val="ro-RO"/>
        </w:rPr>
        <w:t xml:space="preserve"> </w:t>
      </w:r>
      <w:r w:rsidRPr="0024559D">
        <w:rPr>
          <w:rFonts w:ascii="Arial" w:eastAsia="Calibri" w:hAnsi="Arial" w:cs="Arial"/>
          <w:iCs/>
          <w:sz w:val="20"/>
          <w:szCs w:val="20"/>
          <w:lang w:val="ro-RO"/>
        </w:rPr>
        <w:t xml:space="preserve">platformei SPV (Spațiul Privat Virtual), în termen de 30 de zile lucrătoare de la termenul legal de depunere a declarației anuale privind impozitul pe profit. </w:t>
      </w:r>
      <w:r w:rsidRPr="0024559D">
        <w:rPr>
          <w:rFonts w:ascii="Segoe UI" w:eastAsia="Times New Roman" w:hAnsi="Segoe UI" w:cs="Segoe UI"/>
          <w:sz w:val="21"/>
          <w:szCs w:val="21"/>
          <w:lang w:val="ro-RO"/>
        </w:rPr>
        <w:t xml:space="preserve"> </w:t>
      </w:r>
      <w:r w:rsidRPr="0024559D">
        <w:rPr>
          <w:rFonts w:ascii="Arial" w:eastAsia="Calibri" w:hAnsi="Arial" w:cs="Arial"/>
          <w:iCs/>
          <w:sz w:val="20"/>
          <w:szCs w:val="20"/>
          <w:lang w:val="ro-RO"/>
        </w:rPr>
        <w:t xml:space="preserve">Aceasta înseamnă că, pentru contribuabilii mari, </w:t>
      </w:r>
      <w:r w:rsidRPr="0024559D">
        <w:rPr>
          <w:rFonts w:ascii="Segoe UI" w:eastAsia="Times New Roman" w:hAnsi="Segoe UI" w:cs="Segoe UI"/>
          <w:sz w:val="21"/>
          <w:szCs w:val="21"/>
          <w:lang w:val="ro-RO"/>
        </w:rPr>
        <w:t xml:space="preserve"> </w:t>
      </w:r>
      <w:r w:rsidRPr="0024559D">
        <w:rPr>
          <w:rFonts w:ascii="Arial" w:eastAsia="Calibri" w:hAnsi="Arial" w:cs="Arial"/>
          <w:iCs/>
          <w:sz w:val="20"/>
          <w:szCs w:val="20"/>
          <w:lang w:val="ro-RO"/>
        </w:rPr>
        <w:t>dosarul prețurilor de transfer nu doar că trebuie întocmit anual,</w:t>
      </w:r>
      <w:r w:rsidRPr="0024559D">
        <w:rPr>
          <w:rFonts w:ascii="Segoe UI" w:eastAsia="Times New Roman" w:hAnsi="Segoe UI" w:cs="Segoe UI"/>
          <w:sz w:val="21"/>
          <w:szCs w:val="21"/>
          <w:lang w:val="ro-RO"/>
        </w:rPr>
        <w:t xml:space="preserve"> </w:t>
      </w:r>
      <w:r w:rsidRPr="0024559D">
        <w:rPr>
          <w:rFonts w:ascii="Arial" w:eastAsia="Calibri" w:hAnsi="Arial" w:cs="Arial"/>
          <w:iCs/>
          <w:sz w:val="20"/>
          <w:szCs w:val="20"/>
          <w:lang w:val="ro-RO"/>
        </w:rPr>
        <w:t xml:space="preserve">ci </w:t>
      </w:r>
      <w:r w:rsidRPr="0024559D">
        <w:rPr>
          <w:rFonts w:ascii="Segoe UI" w:eastAsia="Times New Roman" w:hAnsi="Segoe UI" w:cs="Segoe UI"/>
          <w:sz w:val="21"/>
          <w:szCs w:val="21"/>
          <w:lang w:val="ro-RO"/>
        </w:rPr>
        <w:t xml:space="preserve"> </w:t>
      </w:r>
      <w:r w:rsidRPr="0024559D">
        <w:rPr>
          <w:rFonts w:ascii="Arial" w:eastAsia="Calibri" w:hAnsi="Arial" w:cs="Arial"/>
          <w:iCs/>
          <w:sz w:val="20"/>
          <w:szCs w:val="20"/>
          <w:lang w:val="ro-RO"/>
        </w:rPr>
        <w:t xml:space="preserve">există acum și o nouă obligație de depunere proactivă a acestuia prin intermediul platformei SPV, fără a mai aștepta o solicitare din partea </w:t>
      </w:r>
      <w:r w:rsidRPr="0024559D">
        <w:rPr>
          <w:rFonts w:ascii="Arial" w:eastAsia="Calibri" w:hAnsi="Arial" w:cs="Arial"/>
          <w:sz w:val="20"/>
          <w:szCs w:val="20"/>
          <w:lang w:val="ro-RO"/>
        </w:rPr>
        <w:t xml:space="preserve"> </w:t>
      </w:r>
      <w:r w:rsidRPr="0024559D">
        <w:rPr>
          <w:rFonts w:ascii="Arial" w:eastAsia="Calibri" w:hAnsi="Arial" w:cs="Arial"/>
          <w:iCs/>
          <w:sz w:val="20"/>
          <w:szCs w:val="20"/>
          <w:lang w:val="ro-RO"/>
        </w:rPr>
        <w:t>autorității fiscale .</w:t>
      </w:r>
    </w:p>
    <w:p w14:paraId="4D35C08C" w14:textId="77777777" w:rsidR="00436228" w:rsidRDefault="00436228" w:rsidP="00436228">
      <w:pPr>
        <w:widowControl w:val="0"/>
        <w:contextualSpacing/>
        <w:jc w:val="both"/>
        <w:rPr>
          <w:rFonts w:ascii="Arial" w:eastAsia="Calibri" w:hAnsi="Arial" w:cs="Arial"/>
          <w:iCs/>
          <w:sz w:val="20"/>
          <w:szCs w:val="20"/>
          <w:lang w:val="ro-RO"/>
        </w:rPr>
      </w:pPr>
    </w:p>
    <w:p w14:paraId="2228A21D" w14:textId="77777777" w:rsidR="00436228" w:rsidRPr="0024559D" w:rsidRDefault="00436228" w:rsidP="00436228">
      <w:pPr>
        <w:widowControl w:val="0"/>
        <w:contextualSpacing/>
        <w:jc w:val="both"/>
        <w:rPr>
          <w:rFonts w:ascii="Arial" w:eastAsia="Calibri" w:hAnsi="Arial" w:cs="Arial"/>
          <w:iCs/>
          <w:sz w:val="20"/>
          <w:szCs w:val="20"/>
          <w:lang w:val="ro-RO"/>
        </w:rPr>
      </w:pPr>
      <w:r w:rsidRPr="0024559D">
        <w:rPr>
          <w:rFonts w:ascii="Arial" w:eastAsia="Calibri" w:hAnsi="Arial" w:cs="Arial"/>
          <w:iCs/>
          <w:sz w:val="20"/>
          <w:szCs w:val="20"/>
          <w:lang w:val="ro-RO"/>
        </w:rPr>
        <w:t xml:space="preserve">În cazul în care dosarul prețurilor de transfer nu este depus prin intermediul platformei SPV, acesta poate </w:t>
      </w:r>
      <w:r w:rsidRPr="0024559D">
        <w:rPr>
          <w:rFonts w:ascii="Arial" w:eastAsia="Calibri" w:hAnsi="Arial" w:cs="Arial"/>
          <w:iCs/>
          <w:sz w:val="20"/>
          <w:szCs w:val="20"/>
          <w:lang w:val="ro-RO"/>
        </w:rPr>
        <w:lastRenderedPageBreak/>
        <w:t>fi solicitat ulterior în cadrul unei inspecții fiscale, situație în care contribuabilul va avea la dispoziție maximum 5 zile lucrătoare pentru prezentarea documentației.</w:t>
      </w:r>
    </w:p>
    <w:p w14:paraId="0BDFF18E" w14:textId="77777777" w:rsidR="00436228" w:rsidRPr="0024559D" w:rsidRDefault="00436228" w:rsidP="00436228">
      <w:pPr>
        <w:widowControl w:val="0"/>
        <w:contextualSpacing/>
        <w:jc w:val="both"/>
        <w:rPr>
          <w:rFonts w:ascii="Arial" w:eastAsia="Calibri" w:hAnsi="Arial" w:cs="Arial"/>
          <w:iCs/>
          <w:sz w:val="20"/>
          <w:szCs w:val="20"/>
          <w:lang w:val="ro-RO"/>
        </w:rPr>
      </w:pPr>
    </w:p>
    <w:p w14:paraId="77090F63" w14:textId="59F55B21" w:rsidR="00436228" w:rsidRPr="0024559D" w:rsidRDefault="00436228" w:rsidP="00436228">
      <w:pPr>
        <w:widowControl w:val="0"/>
        <w:contextualSpacing/>
        <w:jc w:val="both"/>
        <w:rPr>
          <w:rFonts w:ascii="Arial" w:eastAsia="Calibri" w:hAnsi="Arial" w:cs="Arial"/>
          <w:iCs/>
          <w:sz w:val="20"/>
          <w:szCs w:val="20"/>
          <w:lang w:val="ro-RO"/>
        </w:rPr>
      </w:pPr>
      <w:r w:rsidRPr="0024559D">
        <w:rPr>
          <w:rFonts w:ascii="Arial" w:eastAsia="Calibri" w:hAnsi="Arial" w:cs="Arial"/>
          <w:iCs/>
          <w:sz w:val="20"/>
          <w:szCs w:val="20"/>
          <w:lang w:val="ro-RO"/>
        </w:rPr>
        <w:t>Pentru contribuabilii mici și mijlocii se menține obligația de întocmire și prezentare a dosarului numai la solicitarea organului fiscal, în cadrul unei acțiuni de control. Totuși, Ordinul modifică termenele de prezentare a documentației, care vor fi cuprinse între 30 și 60 de zile lucrătoare de la comunicarea solicitării,</w:t>
      </w:r>
      <w:r w:rsidRPr="0024559D">
        <w:rPr>
          <w:rFonts w:ascii="Segoe UI" w:eastAsia="Times New Roman" w:hAnsi="Segoe UI" w:cs="Segoe UI"/>
          <w:sz w:val="21"/>
          <w:szCs w:val="21"/>
          <w:lang w:val="ro-RO"/>
        </w:rPr>
        <w:t xml:space="preserve"> </w:t>
      </w:r>
      <w:r w:rsidRPr="0024559D">
        <w:rPr>
          <w:rFonts w:ascii="Arial" w:eastAsia="Calibri" w:hAnsi="Arial" w:cs="Arial"/>
          <w:iCs/>
          <w:sz w:val="20"/>
          <w:szCs w:val="20"/>
          <w:lang w:val="ro-RO"/>
        </w:rPr>
        <w:t xml:space="preserve">spre deosebire de termenele anterioare, care erau exprimate în zile calendaristice. De asemenea, termenul poate fi prelungit o singură dată, la cererea </w:t>
      </w:r>
      <w:r w:rsidRPr="0024559D">
        <w:rPr>
          <w:rFonts w:ascii="Arial" w:eastAsia="Calibri" w:hAnsi="Arial" w:cs="Arial"/>
          <w:sz w:val="20"/>
          <w:szCs w:val="20"/>
          <w:lang w:val="ro-RO"/>
        </w:rPr>
        <w:t xml:space="preserve"> </w:t>
      </w:r>
      <w:r w:rsidRPr="0024559D">
        <w:rPr>
          <w:rFonts w:ascii="Arial" w:eastAsia="Calibri" w:hAnsi="Arial" w:cs="Arial"/>
          <w:iCs/>
          <w:sz w:val="20"/>
          <w:szCs w:val="20"/>
          <w:lang w:val="ro-RO"/>
        </w:rPr>
        <w:t>justificată a contribuabilului, cu cel mult 30 de zile lucrătoare.</w:t>
      </w:r>
    </w:p>
    <w:p w14:paraId="6E4BDB1F" w14:textId="295170DB" w:rsidR="00436228" w:rsidRPr="00436228" w:rsidRDefault="00436228" w:rsidP="00436228">
      <w:pPr>
        <w:pStyle w:val="ListParagraph"/>
        <w:widowControl w:val="0"/>
        <w:numPr>
          <w:ilvl w:val="0"/>
          <w:numId w:val="36"/>
        </w:numPr>
        <w:jc w:val="both"/>
        <w:rPr>
          <w:rFonts w:ascii="Arial" w:eastAsia="Calibri" w:hAnsi="Arial" w:cs="Arial"/>
          <w:b/>
          <w:color w:val="76923C"/>
          <w:sz w:val="20"/>
          <w:szCs w:val="20"/>
          <w:lang w:val="ro-RO"/>
        </w:rPr>
      </w:pPr>
      <w:r w:rsidRPr="0024559D">
        <w:rPr>
          <w:rFonts w:ascii="Arial" w:eastAsia="Calibri" w:hAnsi="Arial" w:cs="Arial"/>
          <w:b/>
          <w:color w:val="76923C"/>
          <w:sz w:val="20"/>
          <w:szCs w:val="20"/>
          <w:lang w:val="ro-RO"/>
        </w:rPr>
        <w:t xml:space="preserve">Modificări ale conținutului dosarului </w:t>
      </w:r>
      <w:r w:rsidRPr="0024559D">
        <w:rPr>
          <w:rFonts w:ascii="Arial" w:eastAsia="Calibri" w:hAnsi="Arial" w:cs="Arial"/>
          <w:b/>
          <w:bCs/>
          <w:color w:val="76923C"/>
          <w:sz w:val="20"/>
          <w:szCs w:val="20"/>
          <w:lang w:val="ro-RO"/>
        </w:rPr>
        <w:t xml:space="preserve"> prețurilor de transfer</w:t>
      </w:r>
    </w:p>
    <w:p w14:paraId="6F22191D" w14:textId="77777777" w:rsidR="00436228" w:rsidRPr="0024559D" w:rsidRDefault="00436228" w:rsidP="00436228">
      <w:pPr>
        <w:widowControl w:val="0"/>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Ordinul aduce modificări importante și cu privire la conținutul dosarului prețurilor de transfer și pune un accent semnificativ mai mare pe documentarea profilului funcțional al contribuabilului și a informațiilor care stau la baza analizei de prețuri de transfer. </w:t>
      </w:r>
    </w:p>
    <w:p w14:paraId="0A2A5A42" w14:textId="77777777" w:rsidR="00436228" w:rsidRPr="0024559D" w:rsidRDefault="00436228" w:rsidP="00436228">
      <w:pPr>
        <w:widowControl w:val="0"/>
        <w:contextualSpacing/>
        <w:jc w:val="both"/>
        <w:rPr>
          <w:rFonts w:ascii="Arial" w:eastAsia="Calibri" w:hAnsi="Arial" w:cs="Arial"/>
          <w:sz w:val="20"/>
          <w:szCs w:val="20"/>
          <w:lang w:val="ro-RO"/>
        </w:rPr>
      </w:pPr>
    </w:p>
    <w:p w14:paraId="15D55F09" w14:textId="77777777" w:rsidR="00436228" w:rsidRPr="0024559D" w:rsidRDefault="00436228" w:rsidP="00436228">
      <w:pPr>
        <w:widowControl w:val="0"/>
        <w:contextualSpacing/>
        <w:jc w:val="both"/>
        <w:rPr>
          <w:rFonts w:ascii="Arial" w:eastAsia="Calibri" w:hAnsi="Arial" w:cs="Arial"/>
          <w:sz w:val="20"/>
          <w:szCs w:val="20"/>
          <w:lang w:val="ro-RO"/>
        </w:rPr>
      </w:pPr>
      <w:r w:rsidRPr="0024559D">
        <w:rPr>
          <w:rFonts w:ascii="Arial" w:eastAsia="Calibri" w:hAnsi="Arial" w:cs="Arial"/>
          <w:sz w:val="20"/>
          <w:szCs w:val="20"/>
          <w:lang w:val="ro-RO"/>
        </w:rPr>
        <w:t>În acest sens, noile prevederi extind informațiile care trebuie incluse în dosar și acordă o importanță sporită și justificării selectării părții testate. Atunci când partea testată nu este contribuabilul care întocmește documentația, acesta trebuie să pună la dispoziție</w:t>
      </w:r>
      <w:r w:rsidRPr="0024559D">
        <w:rPr>
          <w:rFonts w:ascii="Segoe UI" w:eastAsia="Times New Roman" w:hAnsi="Segoe UI" w:cs="Segoe UI"/>
          <w:sz w:val="21"/>
          <w:szCs w:val="21"/>
          <w:lang w:val="ro-RO"/>
        </w:rPr>
        <w:t xml:space="preserve"> </w:t>
      </w:r>
      <w:r w:rsidRPr="0024559D">
        <w:rPr>
          <w:rFonts w:ascii="Arial" w:eastAsia="Calibri" w:hAnsi="Arial" w:cs="Arial"/>
          <w:sz w:val="20"/>
          <w:szCs w:val="20"/>
          <w:lang w:val="ro-RO"/>
        </w:rPr>
        <w:t xml:space="preserve">informațiile utilizate pentru calcularea indicatorului de profitabilitate, putând include, opțional, un raport </w:t>
      </w:r>
      <w:r w:rsidRPr="0024559D">
        <w:rPr>
          <w:rFonts w:ascii="Segoe UI" w:eastAsia="Times New Roman" w:hAnsi="Segoe UI" w:cs="Segoe UI"/>
          <w:sz w:val="21"/>
          <w:szCs w:val="21"/>
          <w:lang w:val="ro-RO"/>
        </w:rPr>
        <w:t xml:space="preserve"> </w:t>
      </w:r>
      <w:r w:rsidRPr="0024559D">
        <w:rPr>
          <w:rFonts w:ascii="Arial" w:eastAsia="Calibri" w:hAnsi="Arial" w:cs="Arial"/>
          <w:sz w:val="20"/>
          <w:szCs w:val="20"/>
          <w:lang w:val="ro-RO"/>
        </w:rPr>
        <w:t>emis de un auditor independent care să certifice realitatea, cuantumul și corectitudinea acestuia pentru fiecare an fiscal analizat.</w:t>
      </w:r>
    </w:p>
    <w:p w14:paraId="35AB9391" w14:textId="77777777" w:rsidR="00436228" w:rsidRPr="0024559D" w:rsidRDefault="00436228" w:rsidP="00436228">
      <w:pPr>
        <w:widowControl w:val="0"/>
        <w:contextualSpacing/>
        <w:jc w:val="both"/>
        <w:rPr>
          <w:rFonts w:ascii="Arial" w:eastAsia="Calibri" w:hAnsi="Arial" w:cs="Arial"/>
          <w:sz w:val="20"/>
          <w:szCs w:val="20"/>
          <w:lang w:val="ro-RO"/>
        </w:rPr>
      </w:pPr>
    </w:p>
    <w:p w14:paraId="1248FD77" w14:textId="77777777" w:rsidR="00436228" w:rsidRPr="0024559D" w:rsidRDefault="00436228" w:rsidP="00436228">
      <w:pPr>
        <w:widowControl w:val="0"/>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Totodată, Ordinul introduce obligația includerii unei declarații pe propria răspundere privind realitatea și corectitudinea informațiilor prezentate în dosar și impune identificarea informațiilor sensibile care ar putea conduce la divulgarea unor secrete comerciale, industriale sau profesionale. </w:t>
      </w:r>
    </w:p>
    <w:p w14:paraId="15308544" w14:textId="77777777" w:rsidR="00436228" w:rsidRPr="0024559D" w:rsidRDefault="00436228" w:rsidP="00436228">
      <w:pPr>
        <w:widowControl w:val="0"/>
        <w:contextualSpacing/>
        <w:jc w:val="both"/>
        <w:rPr>
          <w:rFonts w:ascii="Arial" w:eastAsia="Calibri" w:hAnsi="Arial" w:cs="Arial"/>
          <w:b/>
          <w:bCs/>
          <w:sz w:val="20"/>
          <w:szCs w:val="20"/>
          <w:lang w:val="ro-RO"/>
        </w:rPr>
      </w:pPr>
    </w:p>
    <w:p w14:paraId="01753CAD" w14:textId="77777777" w:rsidR="00436228" w:rsidRPr="0024559D" w:rsidRDefault="00436228" w:rsidP="00436228">
      <w:pPr>
        <w:widowControl w:val="0"/>
        <w:contextualSpacing/>
        <w:jc w:val="both"/>
        <w:rPr>
          <w:rFonts w:ascii="Arial" w:eastAsia="Calibri" w:hAnsi="Arial" w:cs="Arial"/>
          <w:b/>
          <w:bCs/>
          <w:sz w:val="20"/>
          <w:szCs w:val="20"/>
          <w:lang w:val="ro-RO"/>
        </w:rPr>
      </w:pPr>
      <w:r w:rsidRPr="0024559D">
        <w:rPr>
          <w:rFonts w:ascii="Arial" w:eastAsia="Calibri" w:hAnsi="Arial" w:cs="Arial"/>
          <w:b/>
          <w:bCs/>
          <w:sz w:val="20"/>
          <w:szCs w:val="20"/>
          <w:lang w:val="ro-RO"/>
        </w:rPr>
        <w:t>Studiile de comparabilitate</w:t>
      </w:r>
    </w:p>
    <w:p w14:paraId="09A56A74" w14:textId="77777777" w:rsidR="00436228" w:rsidRPr="0024559D" w:rsidRDefault="00436228" w:rsidP="00436228">
      <w:pPr>
        <w:widowControl w:val="0"/>
        <w:contextualSpacing/>
        <w:jc w:val="both"/>
        <w:rPr>
          <w:rFonts w:ascii="Arial" w:eastAsia="Calibri" w:hAnsi="Arial" w:cs="Arial"/>
          <w:b/>
          <w:bCs/>
          <w:sz w:val="20"/>
          <w:szCs w:val="20"/>
          <w:lang w:val="ro-RO"/>
        </w:rPr>
      </w:pPr>
    </w:p>
    <w:p w14:paraId="29F1A10F" w14:textId="77777777" w:rsidR="00436228" w:rsidRPr="0024559D" w:rsidRDefault="00436228" w:rsidP="00436228">
      <w:pPr>
        <w:widowControl w:val="0"/>
        <w:contextualSpacing/>
        <w:jc w:val="both"/>
        <w:rPr>
          <w:rFonts w:ascii="Arial" w:eastAsia="Calibri" w:hAnsi="Arial" w:cs="Arial"/>
          <w:sz w:val="20"/>
          <w:szCs w:val="20"/>
          <w:lang w:val="ro-RO"/>
        </w:rPr>
      </w:pPr>
      <w:r w:rsidRPr="0024559D">
        <w:rPr>
          <w:rFonts w:ascii="Arial" w:eastAsia="Calibri" w:hAnsi="Arial" w:cs="Arial"/>
          <w:iCs/>
          <w:sz w:val="20"/>
          <w:szCs w:val="20"/>
          <w:lang w:val="ro-RO"/>
        </w:rPr>
        <w:t>Și asupra modalității de pregătire a</w:t>
      </w:r>
      <w:r w:rsidRPr="0024559D">
        <w:rPr>
          <w:rFonts w:ascii="Arial" w:eastAsia="Calibri" w:hAnsi="Arial" w:cs="Arial"/>
          <w:sz w:val="20"/>
          <w:szCs w:val="20"/>
          <w:lang w:val="ro-RO"/>
        </w:rPr>
        <w:t xml:space="preserve"> studiilor de comparabilitate se aduc modificări importante, urmărindu-se creșterea transparenței procesului de selecție a comparabilelor și facilitarea verificării analizei de către autoritățile fiscale. </w:t>
      </w:r>
    </w:p>
    <w:p w14:paraId="35BC9547" w14:textId="77777777" w:rsidR="00436228" w:rsidRPr="0024559D" w:rsidRDefault="00436228" w:rsidP="00436228">
      <w:pPr>
        <w:widowControl w:val="0"/>
        <w:contextualSpacing/>
        <w:jc w:val="both"/>
        <w:rPr>
          <w:rFonts w:ascii="Arial" w:eastAsia="Calibri" w:hAnsi="Arial" w:cs="Arial"/>
          <w:sz w:val="20"/>
          <w:szCs w:val="20"/>
          <w:lang w:val="ro-RO"/>
        </w:rPr>
      </w:pPr>
    </w:p>
    <w:p w14:paraId="1EB7984E" w14:textId="77777777" w:rsidR="00436228" w:rsidRPr="0024559D" w:rsidRDefault="00436228" w:rsidP="00436228">
      <w:pPr>
        <w:widowControl w:val="0"/>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Cu privire la selecția criteriilor geografice, Ordinul </w:t>
      </w:r>
      <w:r w:rsidRPr="0024559D">
        <w:rPr>
          <w:rFonts w:ascii="Segoe UI" w:eastAsia="Times New Roman" w:hAnsi="Segoe UI" w:cs="Segoe UI"/>
          <w:sz w:val="21"/>
          <w:szCs w:val="21"/>
          <w:lang w:val="ro-RO"/>
        </w:rPr>
        <w:t xml:space="preserve"> </w:t>
      </w:r>
      <w:r w:rsidRPr="0024559D">
        <w:rPr>
          <w:rFonts w:ascii="Arial" w:eastAsia="Calibri" w:hAnsi="Arial" w:cs="Arial"/>
          <w:sz w:val="20"/>
          <w:szCs w:val="20"/>
          <w:lang w:val="ro-RO"/>
        </w:rPr>
        <w:t>prevede ca în situația în care partea testată nu este un contribuabil rezident fiscal în România, analiza de comparabilitate să se realizeze pe baza comparabilelor identificate în jurisdicția în care partea testată este rezidentă fiscal.</w:t>
      </w:r>
    </w:p>
    <w:p w14:paraId="045A997E" w14:textId="77777777" w:rsidR="00436228" w:rsidRPr="0024559D" w:rsidRDefault="00436228" w:rsidP="00436228">
      <w:pPr>
        <w:widowControl w:val="0"/>
        <w:contextualSpacing/>
        <w:jc w:val="both"/>
        <w:rPr>
          <w:rFonts w:ascii="Arial" w:eastAsia="Calibri" w:hAnsi="Arial" w:cs="Arial"/>
          <w:sz w:val="20"/>
          <w:szCs w:val="20"/>
          <w:lang w:val="ro-RO"/>
        </w:rPr>
      </w:pPr>
    </w:p>
    <w:p w14:paraId="22BF303F" w14:textId="77777777" w:rsidR="00436228" w:rsidRPr="0024559D" w:rsidRDefault="00436228" w:rsidP="00436228">
      <w:pPr>
        <w:widowControl w:val="0"/>
        <w:contextualSpacing/>
        <w:jc w:val="both"/>
        <w:rPr>
          <w:rFonts w:ascii="Arial" w:eastAsia="Calibri" w:hAnsi="Arial" w:cs="Arial"/>
          <w:sz w:val="20"/>
          <w:szCs w:val="20"/>
          <w:lang w:val="ro-RO"/>
        </w:rPr>
      </w:pPr>
      <w:r w:rsidRPr="0024559D">
        <w:rPr>
          <w:rFonts w:ascii="Arial" w:eastAsia="Calibri" w:hAnsi="Arial" w:cs="Arial"/>
          <w:sz w:val="20"/>
          <w:szCs w:val="20"/>
          <w:lang w:val="ro-RO"/>
        </w:rPr>
        <w:t>De asemenea, se introduc cerințe detaliate privind documentarea atât a societăților incluse în eșantionul de comparabile, cât și a celor eliminate în procesul de selecție.</w:t>
      </w:r>
    </w:p>
    <w:p w14:paraId="1BAAA094" w14:textId="77777777" w:rsidR="00436228" w:rsidRPr="0024559D" w:rsidRDefault="00436228" w:rsidP="00436228">
      <w:pPr>
        <w:widowControl w:val="0"/>
        <w:contextualSpacing/>
        <w:jc w:val="both"/>
        <w:rPr>
          <w:rFonts w:ascii="Arial" w:eastAsia="Calibri" w:hAnsi="Arial" w:cs="Arial"/>
          <w:sz w:val="20"/>
          <w:szCs w:val="20"/>
          <w:lang w:val="ro-RO"/>
        </w:rPr>
      </w:pPr>
    </w:p>
    <w:p w14:paraId="7BDF1060" w14:textId="77777777" w:rsidR="00436228" w:rsidRPr="0024559D" w:rsidRDefault="00436228" w:rsidP="00436228">
      <w:pPr>
        <w:widowControl w:val="0"/>
        <w:contextualSpacing/>
        <w:jc w:val="both"/>
        <w:rPr>
          <w:rFonts w:ascii="Arial" w:eastAsia="Calibri" w:hAnsi="Arial" w:cs="Arial"/>
          <w:sz w:val="20"/>
          <w:szCs w:val="20"/>
          <w:lang w:val="ro-RO"/>
        </w:rPr>
      </w:pPr>
      <w:r w:rsidRPr="0024559D">
        <w:rPr>
          <w:rFonts w:ascii="Arial" w:eastAsia="Calibri" w:hAnsi="Arial" w:cs="Arial"/>
          <w:sz w:val="20"/>
          <w:szCs w:val="20"/>
          <w:lang w:val="ro-RO"/>
        </w:rPr>
        <w:t>Nu în ultimul rând, se introduc reguli mai clare privind utilizarea analizelor multianuale. Astfel, în cazul în care studiul de comparabilitate este bazat pe date multianuale, acesta trebuie să acopere o perioadă de minimum trei ani fiscali, reprezentată, de regulă, de cei trei ani anteriori întocmirii dosarului. În mod justificat, analiza poate include o perioadă de trei ani care să cuprindă și anul întocmirii dosarului, în funcție de disponibilitatea informațiilor în bazele de date comerciale utilizate.</w:t>
      </w:r>
    </w:p>
    <w:p w14:paraId="37841F13" w14:textId="77777777" w:rsidR="00436228" w:rsidRPr="0024559D" w:rsidRDefault="00436228" w:rsidP="00436228">
      <w:pPr>
        <w:widowControl w:val="0"/>
        <w:contextualSpacing/>
        <w:jc w:val="both"/>
        <w:rPr>
          <w:rFonts w:ascii="Arial" w:eastAsia="Calibri" w:hAnsi="Arial" w:cs="Arial"/>
          <w:color w:val="A6A6A6"/>
          <w:sz w:val="20"/>
          <w:szCs w:val="20"/>
          <w:lang w:val="ro-RO"/>
        </w:rPr>
      </w:pPr>
    </w:p>
    <w:p w14:paraId="62A8DA77" w14:textId="77777777" w:rsidR="00436228" w:rsidRDefault="00436228" w:rsidP="00436228">
      <w:pPr>
        <w:widowControl w:val="0"/>
        <w:spacing w:line="276" w:lineRule="auto"/>
        <w:contextualSpacing/>
        <w:jc w:val="both"/>
        <w:rPr>
          <w:rFonts w:ascii="Arial" w:eastAsia="Calibri" w:hAnsi="Arial" w:cs="Arial"/>
          <w:i/>
          <w:iCs/>
          <w:color w:val="808080"/>
          <w:sz w:val="20"/>
          <w:szCs w:val="20"/>
          <w:lang w:val="ro-RO"/>
        </w:rPr>
      </w:pPr>
      <w:r w:rsidRPr="0024559D">
        <w:rPr>
          <w:rFonts w:ascii="Arial" w:eastAsia="Calibri" w:hAnsi="Arial" w:cs="Arial"/>
          <w:i/>
          <w:iCs/>
          <w:color w:val="808080"/>
          <w:sz w:val="20"/>
          <w:szCs w:val="20"/>
          <w:lang w:val="ro-RO"/>
        </w:rPr>
        <w:t>Sursă: Ordinul nr. 828/2026 privind cuantumul tranzacţiilor, termenele pentru întocmire, conţinutul şi condiţiile de solicitare a dosarului preţurilor de transfer şi procedura de ajustare/ estimare a preţurilor de transfer, în forma publicată în data de 2 iulie 2026</w:t>
      </w:r>
    </w:p>
    <w:p w14:paraId="78B24F84" w14:textId="77777777" w:rsidR="00F15E31" w:rsidRDefault="00F15E31" w:rsidP="00436228">
      <w:pPr>
        <w:widowControl w:val="0"/>
        <w:spacing w:line="276" w:lineRule="auto"/>
        <w:contextualSpacing/>
        <w:jc w:val="both"/>
        <w:rPr>
          <w:rFonts w:ascii="Arial" w:eastAsia="Calibri" w:hAnsi="Arial" w:cs="Arial"/>
          <w:i/>
          <w:iCs/>
          <w:color w:val="808080"/>
          <w:sz w:val="20"/>
          <w:szCs w:val="20"/>
          <w:lang w:val="ro-RO"/>
        </w:rPr>
      </w:pPr>
    </w:p>
    <w:p w14:paraId="34B538B8" w14:textId="77777777" w:rsidR="00C73128" w:rsidRPr="0024559D" w:rsidRDefault="00C73128" w:rsidP="00436228">
      <w:pPr>
        <w:widowControl w:val="0"/>
        <w:spacing w:line="276" w:lineRule="auto"/>
        <w:contextualSpacing/>
        <w:jc w:val="both"/>
        <w:rPr>
          <w:rFonts w:ascii="Arial" w:eastAsia="Calibri" w:hAnsi="Arial" w:cs="Arial"/>
          <w:i/>
          <w:iCs/>
          <w:color w:val="808080"/>
          <w:sz w:val="20"/>
          <w:szCs w:val="20"/>
          <w:lang w:val="ro-RO"/>
        </w:rPr>
      </w:pPr>
    </w:p>
    <w:p w14:paraId="6D096C9D" w14:textId="77777777" w:rsidR="00C73128" w:rsidRPr="00F15E31" w:rsidRDefault="00C73128" w:rsidP="00C73128">
      <w:pPr>
        <w:widowControl w:val="0"/>
        <w:numPr>
          <w:ilvl w:val="0"/>
          <w:numId w:val="34"/>
        </w:numPr>
        <w:spacing w:line="276" w:lineRule="auto"/>
        <w:contextualSpacing/>
        <w:jc w:val="both"/>
        <w:rPr>
          <w:rFonts w:ascii="Arial" w:eastAsia="Calibri" w:hAnsi="Arial" w:cs="Arial"/>
          <w:b/>
          <w:bCs/>
          <w:color w:val="005233"/>
          <w:sz w:val="22"/>
          <w:szCs w:val="22"/>
          <w:u w:val="single"/>
          <w:lang w:val="ro-RO"/>
        </w:rPr>
      </w:pPr>
      <w:r w:rsidRPr="00F15E31">
        <w:rPr>
          <w:rFonts w:ascii="Arial" w:eastAsia="Calibri" w:hAnsi="Arial" w:cs="Arial"/>
          <w:b/>
          <w:bCs/>
          <w:color w:val="005233"/>
          <w:sz w:val="22"/>
          <w:szCs w:val="22"/>
          <w:u w:val="single"/>
          <w:lang w:val="ro-RO"/>
        </w:rPr>
        <w:t xml:space="preserve">Noile reguli privind procedura de emitere și modificare a acordurilor de preț în avans (APA) </w:t>
      </w:r>
    </w:p>
    <w:p w14:paraId="1D98B8FA"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p>
    <w:p w14:paraId="06FCFEB4"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Ordinul ANAF nr. 827/2026, publicat la 2 iulie 2026, aprobă noua procedură privind emiterea și modificarea acordurilor de preț în avans (APA), precum și conținutul cererii și al documentației aferente. Noile prevederi se aplică cererilor depuse după intrarea în vigoare a Ordinului, în timp ce cererile deja depuse rămân supuse reglementărilor aplicabile la data depunerii.</w:t>
      </w:r>
    </w:p>
    <w:p w14:paraId="32C3F57D"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p>
    <w:p w14:paraId="22AD9BCC" w14:textId="77777777" w:rsidR="00C73128" w:rsidRPr="0024559D" w:rsidRDefault="00C73128" w:rsidP="00C73128">
      <w:pPr>
        <w:widowControl w:val="0"/>
        <w:spacing w:line="276" w:lineRule="auto"/>
        <w:contextualSpacing/>
        <w:jc w:val="both"/>
        <w:rPr>
          <w:rFonts w:ascii="Arial" w:eastAsia="Calibri" w:hAnsi="Arial" w:cs="Arial"/>
          <w:b/>
          <w:bCs/>
          <w:color w:val="76923C"/>
          <w:sz w:val="20"/>
          <w:szCs w:val="20"/>
          <w:lang w:val="ro-RO"/>
        </w:rPr>
      </w:pPr>
      <w:r w:rsidRPr="0024559D">
        <w:rPr>
          <w:rFonts w:ascii="Arial" w:eastAsia="Calibri" w:hAnsi="Arial" w:cs="Arial"/>
          <w:sz w:val="20"/>
          <w:szCs w:val="20"/>
          <w:lang w:val="ro-RO"/>
        </w:rPr>
        <w:t>Cea mai importantă noutate introdusă de acest ordin este reglementarea expresă a mecanismului de „roll-back”, care permite extinderea efectelor unui APA asupra unor perioade anterioare de până la 5 ani fiscali încheiați. Totuși, este important de menționat că nu poate fi solicitat un acord exclusiv pentru o perioadă anterioară, ci doar în cadrul demersului privind un APA pentru o perioadă viitoare.</w:t>
      </w:r>
    </w:p>
    <w:p w14:paraId="793E9D59"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p>
    <w:p w14:paraId="72276108"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Aplicarea retroactivă este posibilă numai în interiorul termenului de prescripție, cu condiția ca tranzacțiile din perioadele anterioare să fi fost realizate în condiții similare celor analizate prin APA și să fie îndeplinite cerințele prevăzute de Ordin. De asemenea, facilitatea nu este disponibilă pentru perioadele care au făcut deja obiectul unei inspecții fiscale privind impozitul pe profit finalizate prin emiterea unui raport de inspecție fiscală.</w:t>
      </w:r>
    </w:p>
    <w:p w14:paraId="6BC259ED"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p>
    <w:p w14:paraId="1A00DA34"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Ordinul reformulează și face mai transparente și motivele de respingere, iar documentația pentru obținerea APA este semnificativ mai detaliată și aliniată la standardele OCDE.</w:t>
      </w:r>
    </w:p>
    <w:p w14:paraId="2DBFAF2B"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p>
    <w:p w14:paraId="2DAFD9E4" w14:textId="77777777" w:rsidR="00C73128" w:rsidRPr="0024559D" w:rsidRDefault="00C73128" w:rsidP="00C73128">
      <w:pPr>
        <w:keepNext/>
        <w:keepLines/>
        <w:widowControl w:val="0"/>
        <w:spacing w:line="276" w:lineRule="auto"/>
        <w:contextualSpacing/>
        <w:jc w:val="both"/>
        <w:rPr>
          <w:rFonts w:ascii="Arial" w:eastAsia="Calibri" w:hAnsi="Arial" w:cs="Arial"/>
          <w:b/>
          <w:bCs/>
          <w:sz w:val="20"/>
          <w:szCs w:val="20"/>
          <w:lang w:val="ro-RO"/>
        </w:rPr>
      </w:pPr>
      <w:r w:rsidRPr="0024559D">
        <w:rPr>
          <w:rFonts w:ascii="Arial" w:eastAsia="Calibri" w:hAnsi="Arial" w:cs="Arial"/>
          <w:b/>
          <w:bCs/>
          <w:sz w:val="20"/>
          <w:szCs w:val="20"/>
          <w:lang w:val="ro-RO"/>
        </w:rPr>
        <w:t>Studiul de comparabilitate</w:t>
      </w:r>
    </w:p>
    <w:p w14:paraId="4E46CE6D" w14:textId="77777777" w:rsidR="00C73128" w:rsidRPr="0024559D" w:rsidRDefault="00C73128" w:rsidP="00C73128">
      <w:pPr>
        <w:keepNext/>
        <w:keepLines/>
        <w:widowControl w:val="0"/>
        <w:spacing w:line="276" w:lineRule="auto"/>
        <w:contextualSpacing/>
        <w:jc w:val="both"/>
        <w:rPr>
          <w:rFonts w:ascii="Arial" w:eastAsia="Calibri" w:hAnsi="Arial" w:cs="Arial"/>
          <w:sz w:val="20"/>
          <w:szCs w:val="20"/>
          <w:lang w:val="ro-RO"/>
        </w:rPr>
      </w:pPr>
    </w:p>
    <w:p w14:paraId="0D6A1A32" w14:textId="77777777" w:rsidR="00C73128" w:rsidRPr="0024559D" w:rsidRDefault="00C73128" w:rsidP="00C73128">
      <w:pPr>
        <w:keepNext/>
        <w:keepLines/>
        <w:widowControl w:val="0"/>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Se introduc cerințe detaliate și cu privire la pregătirea studiului de comparabilitate. În primul rând, analiza de comparabilitate va urma o ierarhie geografică clară, iar aceasta va fi determinată de rezidența fiscală a părții testate.</w:t>
      </w:r>
    </w:p>
    <w:p w14:paraId="3A7BA789"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 </w:t>
      </w:r>
    </w:p>
    <w:p w14:paraId="34D71587"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Mai mult, și in acest caz, se introduc reguli mai clare privind utilizarea analizelor multianuale. Astfel, în cazul în care studiul de comparabilitate este bazat pe date multianuale, acesta trebuie să acopere o perioadă de minimum trei ani fiscali, reprezentată, de regulă, de cei trei ani anteriori întocmirii dosarului. În mod justificat, analiza poate include o perioadă de trei ani care să cuprindă și anul întocmirii dosarului, în funcție de disponibilitatea informațiilor în bazele de date comerciale utilizate.</w:t>
      </w:r>
    </w:p>
    <w:p w14:paraId="3A619EF4"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p>
    <w:p w14:paraId="4E1BD859" w14:textId="77777777" w:rsidR="00C73128" w:rsidRPr="0024559D" w:rsidRDefault="00C73128" w:rsidP="00C73128">
      <w:pPr>
        <w:widowControl w:val="0"/>
        <w:spacing w:line="276" w:lineRule="auto"/>
        <w:contextualSpacing/>
        <w:jc w:val="both"/>
        <w:rPr>
          <w:rFonts w:ascii="Arial" w:eastAsia="Calibri" w:hAnsi="Arial" w:cs="Arial"/>
          <w:b/>
          <w:bCs/>
          <w:sz w:val="20"/>
          <w:szCs w:val="20"/>
          <w:lang w:val="ro-RO"/>
        </w:rPr>
      </w:pPr>
      <w:r w:rsidRPr="0024559D">
        <w:rPr>
          <w:rFonts w:ascii="Arial" w:eastAsia="Calibri" w:hAnsi="Arial" w:cs="Arial"/>
          <w:b/>
          <w:bCs/>
          <w:sz w:val="20"/>
          <w:szCs w:val="20"/>
          <w:lang w:val="ro-RO"/>
        </w:rPr>
        <w:t>APA bilaterale și multilaterale</w:t>
      </w:r>
    </w:p>
    <w:p w14:paraId="1D47A2C7" w14:textId="77777777" w:rsidR="00C73128" w:rsidRPr="0024559D" w:rsidRDefault="00C73128" w:rsidP="00C73128">
      <w:pPr>
        <w:widowControl w:val="0"/>
        <w:spacing w:line="276" w:lineRule="auto"/>
        <w:ind w:left="360"/>
        <w:contextualSpacing/>
        <w:jc w:val="both"/>
        <w:rPr>
          <w:rFonts w:ascii="Arial" w:eastAsia="Calibri" w:hAnsi="Arial" w:cs="Arial"/>
          <w:sz w:val="20"/>
          <w:szCs w:val="20"/>
          <w:lang w:val="ro-RO"/>
        </w:rPr>
      </w:pPr>
    </w:p>
    <w:p w14:paraId="603C7AF7"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Procedura clarifică interacțiunea cu autoritățile fiscale străine și introduce mai multă flexibilitate:</w:t>
      </w:r>
    </w:p>
    <w:p w14:paraId="0B464B4C" w14:textId="77777777" w:rsidR="00C73128" w:rsidRPr="0024559D" w:rsidRDefault="00C73128" w:rsidP="00C73128">
      <w:pPr>
        <w:widowControl w:val="0"/>
        <w:numPr>
          <w:ilvl w:val="0"/>
          <w:numId w:val="39"/>
        </w:numPr>
        <w:spacing w:line="276" w:lineRule="auto"/>
        <w:contextualSpacing/>
        <w:jc w:val="both"/>
        <w:rPr>
          <w:rFonts w:ascii="Arial" w:eastAsia="Calibri" w:hAnsi="Arial" w:cs="Arial"/>
          <w:iCs/>
          <w:sz w:val="20"/>
          <w:szCs w:val="20"/>
          <w:lang w:val="ro-RO"/>
        </w:rPr>
      </w:pPr>
      <w:r w:rsidRPr="0024559D">
        <w:rPr>
          <w:rFonts w:ascii="Arial" w:eastAsia="Calibri" w:hAnsi="Arial" w:cs="Arial"/>
          <w:iCs/>
          <w:sz w:val="20"/>
          <w:szCs w:val="20"/>
          <w:lang w:val="ro-RO"/>
        </w:rPr>
        <w:t>cererile bilaterale/multilaterale pot fi transformate în unilaterale pe parcursul procedurii;</w:t>
      </w:r>
    </w:p>
    <w:p w14:paraId="22C355DD" w14:textId="77777777" w:rsidR="00C73128" w:rsidRPr="0024559D" w:rsidRDefault="00C73128" w:rsidP="00C73128">
      <w:pPr>
        <w:widowControl w:val="0"/>
        <w:numPr>
          <w:ilvl w:val="0"/>
          <w:numId w:val="39"/>
        </w:numPr>
        <w:spacing w:line="276" w:lineRule="auto"/>
        <w:contextualSpacing/>
        <w:jc w:val="both"/>
        <w:rPr>
          <w:rFonts w:ascii="Arial" w:eastAsia="Calibri" w:hAnsi="Arial" w:cs="Arial"/>
          <w:iCs/>
          <w:sz w:val="20"/>
          <w:szCs w:val="20"/>
          <w:lang w:val="ro-RO"/>
        </w:rPr>
      </w:pPr>
      <w:r w:rsidRPr="0024559D">
        <w:rPr>
          <w:rFonts w:ascii="Arial" w:eastAsia="Calibri" w:hAnsi="Arial" w:cs="Arial"/>
          <w:iCs/>
          <w:sz w:val="20"/>
          <w:szCs w:val="20"/>
          <w:lang w:val="ro-RO"/>
        </w:rPr>
        <w:t>emiterea sau respingerea se face doar după consultarea autorităților implicate;</w:t>
      </w:r>
    </w:p>
    <w:p w14:paraId="3AC1BC0D" w14:textId="77777777" w:rsidR="00C73128" w:rsidRPr="0024559D" w:rsidRDefault="00C73128" w:rsidP="00C73128">
      <w:pPr>
        <w:widowControl w:val="0"/>
        <w:numPr>
          <w:ilvl w:val="0"/>
          <w:numId w:val="39"/>
        </w:numPr>
        <w:spacing w:line="276" w:lineRule="auto"/>
        <w:contextualSpacing/>
        <w:jc w:val="both"/>
        <w:rPr>
          <w:rFonts w:ascii="Arial" w:eastAsia="Calibri" w:hAnsi="Arial" w:cs="Arial"/>
          <w:sz w:val="20"/>
          <w:szCs w:val="20"/>
          <w:lang w:val="ro-RO"/>
        </w:rPr>
      </w:pPr>
      <w:r w:rsidRPr="0024559D">
        <w:rPr>
          <w:rFonts w:ascii="Arial" w:eastAsia="Calibri" w:hAnsi="Arial" w:cs="Arial"/>
          <w:iCs/>
          <w:sz w:val="20"/>
          <w:szCs w:val="20"/>
          <w:lang w:val="ro-RO"/>
        </w:rPr>
        <w:t>în caz de modificări sau încetare, sunt</w:t>
      </w:r>
      <w:r w:rsidRPr="0024559D">
        <w:rPr>
          <w:rFonts w:ascii="Arial" w:eastAsia="Calibri" w:hAnsi="Arial" w:cs="Arial"/>
          <w:sz w:val="20"/>
          <w:szCs w:val="20"/>
          <w:lang w:val="ro-RO"/>
        </w:rPr>
        <w:t xml:space="preserve"> necesare consultări între administrațiile fiscale.</w:t>
      </w:r>
    </w:p>
    <w:p w14:paraId="3558247A" w14:textId="77777777" w:rsidR="00C73128" w:rsidRPr="0024559D" w:rsidRDefault="00C73128" w:rsidP="00C73128">
      <w:pPr>
        <w:widowControl w:val="0"/>
        <w:spacing w:line="276" w:lineRule="auto"/>
        <w:ind w:left="720"/>
        <w:contextualSpacing/>
        <w:jc w:val="both"/>
        <w:rPr>
          <w:rFonts w:ascii="Arial" w:eastAsia="Calibri" w:hAnsi="Arial" w:cs="Arial"/>
          <w:sz w:val="20"/>
          <w:szCs w:val="20"/>
          <w:lang w:val="ro-RO"/>
        </w:rPr>
      </w:pPr>
    </w:p>
    <w:p w14:paraId="117C296D" w14:textId="77777777" w:rsidR="00C73128" w:rsidRPr="0024559D" w:rsidRDefault="00C73128" w:rsidP="00C73128">
      <w:pPr>
        <w:widowControl w:val="0"/>
        <w:spacing w:line="276" w:lineRule="auto"/>
        <w:contextualSpacing/>
        <w:jc w:val="both"/>
        <w:rPr>
          <w:rFonts w:ascii="Arial" w:eastAsia="Calibri" w:hAnsi="Arial" w:cs="Arial"/>
          <w:b/>
          <w:bCs/>
          <w:sz w:val="20"/>
          <w:szCs w:val="20"/>
          <w:lang w:val="ro-RO"/>
        </w:rPr>
      </w:pPr>
      <w:r w:rsidRPr="0024559D">
        <w:rPr>
          <w:rFonts w:ascii="Arial" w:eastAsia="Calibri" w:hAnsi="Arial" w:cs="Arial"/>
          <w:b/>
          <w:bCs/>
          <w:sz w:val="20"/>
          <w:szCs w:val="20"/>
          <w:lang w:val="ro-RO"/>
        </w:rPr>
        <w:t>Monitorizarea anuală a APA</w:t>
      </w:r>
    </w:p>
    <w:p w14:paraId="634DEA8D" w14:textId="77777777" w:rsidR="00C73128" w:rsidRPr="0024559D" w:rsidRDefault="00C73128" w:rsidP="00C73128">
      <w:pPr>
        <w:widowControl w:val="0"/>
        <w:spacing w:line="276" w:lineRule="auto"/>
        <w:ind w:left="360"/>
        <w:contextualSpacing/>
        <w:jc w:val="both"/>
        <w:rPr>
          <w:rFonts w:ascii="Arial" w:eastAsia="Calibri" w:hAnsi="Arial" w:cs="Arial"/>
          <w:color w:val="76923C"/>
          <w:sz w:val="20"/>
          <w:szCs w:val="20"/>
          <w:lang w:val="ro-RO"/>
        </w:rPr>
      </w:pPr>
    </w:p>
    <w:p w14:paraId="3F2C06A7"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Contribuabilii care beneficiază de un acord de preț în avans au obligația de a transmite autorității fiscale un raport privind respectarea termenilor și condițiilor care au stat la baza emiterii acordului.</w:t>
      </w:r>
    </w:p>
    <w:p w14:paraId="17080FEF" w14:textId="77777777" w:rsidR="00C73128" w:rsidRPr="0024559D" w:rsidRDefault="00C73128" w:rsidP="00C73128">
      <w:pPr>
        <w:widowControl w:val="0"/>
        <w:spacing w:line="276" w:lineRule="auto"/>
        <w:contextualSpacing/>
        <w:jc w:val="both"/>
        <w:rPr>
          <w:rFonts w:ascii="Arial" w:eastAsia="Calibri" w:hAnsi="Arial" w:cs="Arial"/>
          <w:sz w:val="20"/>
          <w:szCs w:val="20"/>
          <w:lang w:val="ro-RO"/>
        </w:rPr>
      </w:pPr>
    </w:p>
    <w:p w14:paraId="2B580071" w14:textId="77777777" w:rsidR="00C73128" w:rsidRPr="0024559D" w:rsidRDefault="00C73128" w:rsidP="00C73128">
      <w:pPr>
        <w:widowControl w:val="0"/>
        <w:numPr>
          <w:ilvl w:val="0"/>
          <w:numId w:val="38"/>
        </w:numPr>
        <w:spacing w:line="300" w:lineRule="exact"/>
        <w:contextualSpacing/>
        <w:jc w:val="both"/>
        <w:rPr>
          <w:rFonts w:ascii="Arial" w:eastAsia="Calibri" w:hAnsi="Arial" w:cs="Arial"/>
          <w:sz w:val="20"/>
          <w:szCs w:val="20"/>
          <w:lang w:val="ro-RO"/>
        </w:rPr>
      </w:pPr>
      <w:r w:rsidRPr="0024559D">
        <w:rPr>
          <w:rFonts w:ascii="Arial" w:eastAsia="Calibri" w:hAnsi="Arial" w:cs="Arial"/>
          <w:iCs/>
          <w:sz w:val="20"/>
          <w:szCs w:val="20"/>
          <w:lang w:val="ro-RO"/>
        </w:rPr>
        <w:lastRenderedPageBreak/>
        <w:t>Pentru</w:t>
      </w:r>
      <w:r w:rsidRPr="0024559D">
        <w:rPr>
          <w:rFonts w:ascii="Arial" w:eastAsia="Calibri" w:hAnsi="Arial" w:cs="Arial"/>
          <w:sz w:val="20"/>
          <w:szCs w:val="20"/>
          <w:lang w:val="ro-RO"/>
        </w:rPr>
        <w:t xml:space="preserve"> </w:t>
      </w:r>
      <w:r w:rsidRPr="0024559D">
        <w:rPr>
          <w:rFonts w:ascii="Arial" w:eastAsia="Calibri" w:hAnsi="Arial" w:cs="Arial"/>
          <w:b/>
          <w:bCs/>
          <w:sz w:val="20"/>
          <w:szCs w:val="20"/>
          <w:lang w:val="ro-RO"/>
        </w:rPr>
        <w:t>APA-urile care vizează tranzacții viitoare</w:t>
      </w:r>
      <w:r w:rsidRPr="0024559D">
        <w:rPr>
          <w:rFonts w:ascii="Arial" w:eastAsia="Calibri" w:hAnsi="Arial" w:cs="Arial"/>
          <w:sz w:val="20"/>
          <w:szCs w:val="20"/>
          <w:lang w:val="ro-RO"/>
        </w:rPr>
        <w:t xml:space="preserve"> - raportul se depune anual, pentru fiecare an fiscal inclus în perioada de valabilitate a acordului, până la termenul prevăzut de lege</w:t>
      </w:r>
    </w:p>
    <w:p w14:paraId="6A15C6DD" w14:textId="77777777" w:rsidR="00C73128" w:rsidRDefault="00C73128" w:rsidP="00C73128">
      <w:pPr>
        <w:widowControl w:val="0"/>
        <w:numPr>
          <w:ilvl w:val="0"/>
          <w:numId w:val="38"/>
        </w:numPr>
        <w:spacing w:line="300" w:lineRule="exact"/>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Pentru </w:t>
      </w:r>
      <w:r w:rsidRPr="0024559D">
        <w:rPr>
          <w:rFonts w:ascii="Arial" w:eastAsia="Calibri" w:hAnsi="Arial" w:cs="Arial"/>
          <w:b/>
          <w:bCs/>
          <w:sz w:val="20"/>
          <w:szCs w:val="20"/>
          <w:lang w:val="ro-RO"/>
        </w:rPr>
        <w:t>APA-urile cu aplicare pentru perioade anterioare (rollback)</w:t>
      </w:r>
      <w:r w:rsidRPr="0024559D">
        <w:rPr>
          <w:rFonts w:ascii="Arial" w:eastAsia="Calibri" w:hAnsi="Arial" w:cs="Arial"/>
          <w:sz w:val="20"/>
          <w:szCs w:val="20"/>
          <w:lang w:val="ro-RO"/>
        </w:rPr>
        <w:t xml:space="preserve"> - raportul trebuie depus în termen de 90 de zile lucrătoare de la comunicarea ordinului de aprobare și se întocmește pentru fiecare an fiscal acoperit de acord.</w:t>
      </w:r>
    </w:p>
    <w:p w14:paraId="607B07FD" w14:textId="77777777" w:rsidR="00C73128" w:rsidRPr="0024559D" w:rsidRDefault="00C73128" w:rsidP="00C73128">
      <w:pPr>
        <w:widowControl w:val="0"/>
        <w:spacing w:line="276" w:lineRule="auto"/>
        <w:contextualSpacing/>
        <w:jc w:val="both"/>
        <w:rPr>
          <w:rFonts w:ascii="Arial" w:eastAsia="Calibri" w:hAnsi="Arial" w:cs="Arial"/>
          <w:i/>
          <w:iCs/>
          <w:color w:val="808080"/>
          <w:sz w:val="20"/>
          <w:szCs w:val="20"/>
          <w:lang w:val="ro-RO"/>
        </w:rPr>
      </w:pPr>
      <w:r w:rsidRPr="0024559D">
        <w:rPr>
          <w:rFonts w:ascii="Arial" w:eastAsia="Calibri" w:hAnsi="Arial" w:cs="Arial"/>
          <w:i/>
          <w:iCs/>
          <w:color w:val="808080"/>
          <w:sz w:val="20"/>
          <w:szCs w:val="20"/>
          <w:lang w:val="ro-RO"/>
        </w:rPr>
        <w:t>Sursă: Ordinul nr. 827/2026 al președintelui Agenției Naționale de Administrare Fiscală pentru aprobarea Procedurii privind emiterea și modificarea acordului de preț în avans, precum și a conținutului cererii de emitere și modificare a acordului de preț în avans, în forma publicată în data de 2  iulie 2026</w:t>
      </w:r>
    </w:p>
    <w:p w14:paraId="4E07F8E2" w14:textId="77777777" w:rsidR="00983693" w:rsidRDefault="00983693" w:rsidP="00983693">
      <w:pPr>
        <w:jc w:val="both"/>
        <w:rPr>
          <w:rFonts w:ascii="Arial" w:eastAsia="Calibri" w:hAnsi="Arial" w:cs="Arial"/>
          <w:kern w:val="0"/>
          <w:sz w:val="20"/>
          <w:szCs w:val="20"/>
          <w:lang w:val="ro-RO"/>
          <w14:ligatures w14:val="none"/>
        </w:rPr>
      </w:pPr>
    </w:p>
    <w:p w14:paraId="425034CB" w14:textId="77777777" w:rsidR="009B0AC0" w:rsidRPr="00F15E31" w:rsidRDefault="009B0AC0" w:rsidP="009B0AC0">
      <w:pPr>
        <w:widowControl w:val="0"/>
        <w:numPr>
          <w:ilvl w:val="0"/>
          <w:numId w:val="34"/>
        </w:numPr>
        <w:spacing w:line="276" w:lineRule="auto"/>
        <w:contextualSpacing/>
        <w:jc w:val="both"/>
        <w:rPr>
          <w:rFonts w:ascii="Arial" w:eastAsia="Calibri" w:hAnsi="Arial" w:cs="Arial"/>
          <w:b/>
          <w:bCs/>
          <w:color w:val="005233"/>
          <w:sz w:val="22"/>
          <w:szCs w:val="22"/>
          <w:u w:val="single"/>
          <w:lang w:val="ro-RO"/>
        </w:rPr>
      </w:pPr>
      <w:r w:rsidRPr="00F15E31">
        <w:rPr>
          <w:rFonts w:ascii="Arial" w:eastAsia="Calibri" w:hAnsi="Arial" w:cs="Arial"/>
          <w:b/>
          <w:bCs/>
          <w:color w:val="005233"/>
          <w:sz w:val="22"/>
          <w:szCs w:val="22"/>
          <w:u w:val="single"/>
          <w:lang w:val="ro-RO"/>
        </w:rPr>
        <w:t>Procedura amiabilă</w:t>
      </w:r>
    </w:p>
    <w:p w14:paraId="1A0638E0" w14:textId="77777777" w:rsidR="009B0AC0" w:rsidRPr="0024559D" w:rsidRDefault="009B0AC0" w:rsidP="009B0AC0">
      <w:pPr>
        <w:widowControl w:val="0"/>
        <w:spacing w:line="276" w:lineRule="auto"/>
        <w:ind w:left="399"/>
        <w:contextualSpacing/>
        <w:jc w:val="both"/>
        <w:rPr>
          <w:rFonts w:ascii="Arial" w:eastAsia="Calibri" w:hAnsi="Arial" w:cs="Arial"/>
          <w:color w:val="9BBB59"/>
          <w:sz w:val="20"/>
          <w:szCs w:val="20"/>
          <w:lang w:val="ro-RO"/>
        </w:rPr>
      </w:pPr>
    </w:p>
    <w:p w14:paraId="7BC096C7" w14:textId="77777777" w:rsidR="009B0AC0" w:rsidRPr="0024559D" w:rsidRDefault="009B0AC0" w:rsidP="009B0AC0">
      <w:pPr>
        <w:widowControl w:val="0"/>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Autoritățile fiscale au publicat ordinul privind modalitatea de derulare a procedurii amiabile (Mutual Agreement Procedure – MAP), aplicabil cererilor depuse începând cu 16 iunie 2026. Principalele prevederi ale Ordinului sunt următoarele:</w:t>
      </w:r>
    </w:p>
    <w:p w14:paraId="26655358" w14:textId="77777777" w:rsidR="009B0AC0" w:rsidRPr="0024559D" w:rsidRDefault="009B0AC0" w:rsidP="009B0AC0">
      <w:pPr>
        <w:widowControl w:val="0"/>
        <w:spacing w:line="276" w:lineRule="auto"/>
        <w:ind w:left="399"/>
        <w:contextualSpacing/>
        <w:jc w:val="both"/>
        <w:rPr>
          <w:rFonts w:ascii="Arial" w:eastAsia="Calibri" w:hAnsi="Arial" w:cs="Arial"/>
          <w:sz w:val="20"/>
          <w:szCs w:val="20"/>
          <w:lang w:val="ro-RO"/>
        </w:rPr>
      </w:pPr>
    </w:p>
    <w:p w14:paraId="183B24F9" w14:textId="77777777" w:rsidR="009B0AC0" w:rsidRPr="0024559D" w:rsidRDefault="009B0AC0" w:rsidP="009B0AC0">
      <w:pPr>
        <w:widowControl w:val="0"/>
        <w:numPr>
          <w:ilvl w:val="0"/>
          <w:numId w:val="40"/>
        </w:numPr>
        <w:spacing w:line="276" w:lineRule="auto"/>
        <w:ind w:left="360"/>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Termenul de depunere a unei cereri de inițiere a procedurii amiabile este de 3 ani de la comunicarea actului administrativ fiscal sau a altei notificări din care rezultă o impozitare neconformă cu prevederile convenției aplicabile. În cazul în care convenția de evitare a dublei impuneri prevede un termen mai scurt, acesta se extinde la 3 ani. </w:t>
      </w:r>
    </w:p>
    <w:p w14:paraId="30061B4E" w14:textId="77777777" w:rsidR="009B0AC0" w:rsidRPr="0024559D" w:rsidRDefault="009B0AC0" w:rsidP="009B0AC0">
      <w:pPr>
        <w:widowControl w:val="0"/>
        <w:spacing w:line="276" w:lineRule="auto"/>
        <w:contextualSpacing/>
        <w:jc w:val="both"/>
        <w:rPr>
          <w:rFonts w:ascii="Arial" w:eastAsia="Calibri" w:hAnsi="Arial" w:cs="Arial"/>
          <w:sz w:val="20"/>
          <w:szCs w:val="20"/>
          <w:lang w:val="ro-RO"/>
        </w:rPr>
      </w:pPr>
    </w:p>
    <w:p w14:paraId="755257AC" w14:textId="77777777" w:rsidR="009B0AC0" w:rsidRPr="0024559D" w:rsidRDefault="009B0AC0" w:rsidP="009B0AC0">
      <w:pPr>
        <w:widowControl w:val="0"/>
        <w:numPr>
          <w:ilvl w:val="0"/>
          <w:numId w:val="40"/>
        </w:numPr>
        <w:spacing w:line="276" w:lineRule="auto"/>
        <w:ind w:left="360"/>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Cererea de inițiere a MAP trebuie să conțină informații detaliate privind persoanele și jurisdicțiile implicate, perioadele fiscale și sumele în litigiu, circumstanțele cazului, prevederile convenției considerate încălcate și poziția contribuabilului. Pentru cazurile de prețuri de transfer sunt necesare informații suplimentare privind tranzacțiile analizate, funcțiile, riscurile și activele părților implicate. </w:t>
      </w:r>
    </w:p>
    <w:p w14:paraId="72FA679A" w14:textId="77777777" w:rsidR="009B0AC0" w:rsidRPr="0024559D" w:rsidRDefault="009B0AC0" w:rsidP="009B0AC0">
      <w:pPr>
        <w:widowControl w:val="0"/>
        <w:spacing w:line="276" w:lineRule="auto"/>
        <w:contextualSpacing/>
        <w:jc w:val="both"/>
        <w:rPr>
          <w:rFonts w:ascii="Arial" w:eastAsia="Calibri" w:hAnsi="Arial" w:cs="Arial"/>
          <w:sz w:val="20"/>
          <w:szCs w:val="20"/>
          <w:lang w:val="ro-RO"/>
        </w:rPr>
      </w:pPr>
    </w:p>
    <w:p w14:paraId="0B65848C" w14:textId="77777777" w:rsidR="009B0AC0" w:rsidRPr="0024559D" w:rsidRDefault="009B0AC0" w:rsidP="009B0AC0">
      <w:pPr>
        <w:widowControl w:val="0"/>
        <w:numPr>
          <w:ilvl w:val="0"/>
          <w:numId w:val="40"/>
        </w:numPr>
        <w:spacing w:line="276" w:lineRule="auto"/>
        <w:ind w:left="360"/>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Documentația se transmite electronic prin contul SPV, în format PDF și editabil, atât în limba română, cât și în limba engleză. O copie a cererii trebuie transmisă simultan și autorităților competente din celelalte jurisdicții implicate. </w:t>
      </w:r>
    </w:p>
    <w:p w14:paraId="509A9D3D" w14:textId="77777777" w:rsidR="009B0AC0" w:rsidRPr="0024559D" w:rsidRDefault="009B0AC0" w:rsidP="009B0AC0">
      <w:pPr>
        <w:widowControl w:val="0"/>
        <w:spacing w:line="276" w:lineRule="auto"/>
        <w:contextualSpacing/>
        <w:jc w:val="both"/>
        <w:rPr>
          <w:rFonts w:ascii="Arial" w:eastAsia="Calibri" w:hAnsi="Arial" w:cs="Arial"/>
          <w:sz w:val="20"/>
          <w:szCs w:val="20"/>
          <w:lang w:val="ro-RO"/>
        </w:rPr>
      </w:pPr>
    </w:p>
    <w:p w14:paraId="6F2E84DA" w14:textId="1B1207A1" w:rsidR="00F15E31" w:rsidRPr="003977DB" w:rsidRDefault="009B0AC0" w:rsidP="00F15E31">
      <w:pPr>
        <w:widowControl w:val="0"/>
        <w:numPr>
          <w:ilvl w:val="0"/>
          <w:numId w:val="40"/>
        </w:numPr>
        <w:spacing w:line="276" w:lineRule="auto"/>
        <w:ind w:left="360"/>
        <w:contextualSpacing/>
        <w:jc w:val="both"/>
        <w:rPr>
          <w:rFonts w:ascii="Arial" w:eastAsia="Calibri" w:hAnsi="Arial" w:cs="Arial"/>
          <w:sz w:val="20"/>
          <w:szCs w:val="20"/>
          <w:lang w:val="ro-RO"/>
        </w:rPr>
      </w:pPr>
      <w:r w:rsidRPr="003977DB">
        <w:rPr>
          <w:rFonts w:ascii="Arial" w:eastAsia="Calibri" w:hAnsi="Arial" w:cs="Arial"/>
          <w:sz w:val="20"/>
          <w:szCs w:val="20"/>
          <w:lang w:val="ro-RO"/>
        </w:rPr>
        <w:t xml:space="preserve">Autoritățile fiscale pot solicita informații și documente suplimentare pe parcursul analizei cererii, iar, în funcție de circumstanțele cazului, pot fi organizate întâlniri cu contribuabilul pentru clarificarea aspectelor relevante. </w:t>
      </w:r>
    </w:p>
    <w:p w14:paraId="4A8D5FD5" w14:textId="77777777" w:rsidR="009B0AC0" w:rsidRPr="0024559D" w:rsidRDefault="009B0AC0" w:rsidP="009B0AC0">
      <w:pPr>
        <w:widowControl w:val="0"/>
        <w:spacing w:line="276" w:lineRule="auto"/>
        <w:contextualSpacing/>
        <w:jc w:val="both"/>
        <w:rPr>
          <w:rFonts w:ascii="Arial" w:eastAsia="Calibri" w:hAnsi="Arial" w:cs="Arial"/>
          <w:sz w:val="20"/>
          <w:szCs w:val="20"/>
          <w:lang w:val="ro-RO"/>
        </w:rPr>
      </w:pPr>
    </w:p>
    <w:p w14:paraId="2CA2497E" w14:textId="77777777" w:rsidR="009B0AC0" w:rsidRPr="0024559D" w:rsidRDefault="009B0AC0" w:rsidP="009B0AC0">
      <w:pPr>
        <w:widowControl w:val="0"/>
        <w:numPr>
          <w:ilvl w:val="0"/>
          <w:numId w:val="40"/>
        </w:numPr>
        <w:spacing w:line="276" w:lineRule="auto"/>
        <w:ind w:left="360"/>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Implementarea soluției agreate în cadrul procedurii amiabile este condiționată de acordul contribuabilului și de retragerea căilor de atac referitoare la actele contestate. În cazul existenței unor contestații administrative sau acțiuni în instanță aflate în derulare, contribuabilul trebuie să facă dovada retragerii definitive a acestora în termen de 60 de zile de la comunicarea deciziei. În caz contrar soluția MAP neproducând efecte obligatorii. </w:t>
      </w:r>
    </w:p>
    <w:p w14:paraId="68EA3BD1" w14:textId="77777777" w:rsidR="009B0AC0" w:rsidRPr="0024559D" w:rsidRDefault="009B0AC0" w:rsidP="009B0AC0">
      <w:pPr>
        <w:widowControl w:val="0"/>
        <w:spacing w:line="276" w:lineRule="auto"/>
        <w:contextualSpacing/>
        <w:jc w:val="both"/>
        <w:rPr>
          <w:rFonts w:ascii="Arial" w:eastAsia="Calibri" w:hAnsi="Arial" w:cs="Arial"/>
          <w:sz w:val="20"/>
          <w:szCs w:val="20"/>
          <w:lang w:val="ro-RO"/>
        </w:rPr>
      </w:pPr>
    </w:p>
    <w:p w14:paraId="7D05A0FB" w14:textId="77777777" w:rsidR="009B0AC0" w:rsidRPr="0024559D" w:rsidRDefault="009B0AC0" w:rsidP="009B0AC0">
      <w:pPr>
        <w:widowControl w:val="0"/>
        <w:numPr>
          <w:ilvl w:val="0"/>
          <w:numId w:val="40"/>
        </w:numPr>
        <w:spacing w:line="276" w:lineRule="auto"/>
        <w:ind w:left="360"/>
        <w:contextualSpacing/>
        <w:jc w:val="both"/>
        <w:rPr>
          <w:rFonts w:ascii="Arial" w:eastAsia="Calibri" w:hAnsi="Arial" w:cs="Arial"/>
          <w:sz w:val="20"/>
          <w:szCs w:val="20"/>
          <w:lang w:val="ro-RO"/>
        </w:rPr>
      </w:pPr>
      <w:r w:rsidRPr="0024559D">
        <w:rPr>
          <w:rFonts w:ascii="Arial" w:eastAsia="Calibri" w:hAnsi="Arial" w:cs="Arial"/>
          <w:sz w:val="20"/>
          <w:szCs w:val="20"/>
          <w:lang w:val="ro-RO"/>
        </w:rPr>
        <w:t>În situațiile prevăzute de legislația aplicabilă, inclusiv în cadrul Convenției de arbitraj a Uniunii Europene (90/436/CEE), contribuabilul poate solicita inițierea procedurii de arbitraj în cazul în care autoritățile competente nu ajung la un acord.</w:t>
      </w:r>
    </w:p>
    <w:p w14:paraId="5BFDB824" w14:textId="77777777" w:rsidR="009B0AC0" w:rsidRPr="0024559D" w:rsidRDefault="009B0AC0" w:rsidP="009B0AC0">
      <w:pPr>
        <w:widowControl w:val="0"/>
        <w:spacing w:line="276" w:lineRule="auto"/>
        <w:contextualSpacing/>
        <w:jc w:val="both"/>
        <w:rPr>
          <w:rFonts w:ascii="Arial" w:eastAsia="Calibri" w:hAnsi="Arial" w:cs="Arial"/>
          <w:sz w:val="20"/>
          <w:szCs w:val="20"/>
          <w:lang w:val="ro-RO"/>
        </w:rPr>
      </w:pPr>
    </w:p>
    <w:p w14:paraId="2F8E19C4" w14:textId="77777777" w:rsidR="009B0AC0" w:rsidRPr="0024559D" w:rsidRDefault="009B0AC0" w:rsidP="009B0AC0">
      <w:pPr>
        <w:widowControl w:val="0"/>
        <w:numPr>
          <w:ilvl w:val="0"/>
          <w:numId w:val="40"/>
        </w:numPr>
        <w:spacing w:line="276" w:lineRule="auto"/>
        <w:ind w:left="360"/>
        <w:contextualSpacing/>
        <w:jc w:val="both"/>
        <w:rPr>
          <w:rFonts w:ascii="Arial" w:eastAsia="Calibri" w:hAnsi="Arial" w:cs="Arial"/>
          <w:sz w:val="20"/>
          <w:szCs w:val="20"/>
          <w:lang w:val="ro-RO"/>
        </w:rPr>
      </w:pPr>
      <w:r w:rsidRPr="0024559D">
        <w:rPr>
          <w:rFonts w:ascii="Arial" w:eastAsia="Calibri" w:hAnsi="Arial" w:cs="Arial"/>
          <w:sz w:val="20"/>
          <w:szCs w:val="20"/>
          <w:lang w:val="ro-RO"/>
        </w:rPr>
        <w:t>Deciziile adoptate în cadrul procedurii amiabile sau al arbitrajului se implementează indiferent de termenele de prescripție și prevalează asupra actelor administrative fiscale emise anterior care au generat o impozitare neconformă cu prevederile convenției aplicabile.</w:t>
      </w:r>
    </w:p>
    <w:p w14:paraId="797F4220" w14:textId="77777777" w:rsidR="009B0AC0" w:rsidRPr="0024559D" w:rsidRDefault="009B0AC0" w:rsidP="009B0AC0">
      <w:pPr>
        <w:widowControl w:val="0"/>
        <w:spacing w:line="276" w:lineRule="auto"/>
        <w:ind w:left="360"/>
        <w:contextualSpacing/>
        <w:jc w:val="both"/>
        <w:rPr>
          <w:rFonts w:ascii="Arial" w:eastAsia="Calibri" w:hAnsi="Arial" w:cs="Arial"/>
          <w:sz w:val="20"/>
          <w:szCs w:val="20"/>
          <w:lang w:val="ro-RO"/>
        </w:rPr>
      </w:pPr>
    </w:p>
    <w:p w14:paraId="2218C23C" w14:textId="77777777" w:rsidR="009B0AC0" w:rsidRDefault="009B0AC0" w:rsidP="009B0AC0">
      <w:pPr>
        <w:widowControl w:val="0"/>
        <w:spacing w:line="276" w:lineRule="auto"/>
        <w:contextualSpacing/>
        <w:jc w:val="both"/>
        <w:rPr>
          <w:rFonts w:ascii="Arial" w:eastAsia="Calibri" w:hAnsi="Arial" w:cs="Arial"/>
          <w:i/>
          <w:iCs/>
          <w:color w:val="808080"/>
          <w:sz w:val="20"/>
          <w:szCs w:val="20"/>
          <w:lang w:val="ro-RO"/>
        </w:rPr>
      </w:pPr>
      <w:r w:rsidRPr="0024559D">
        <w:rPr>
          <w:rFonts w:ascii="Arial" w:eastAsia="Calibri" w:hAnsi="Arial" w:cs="Arial"/>
          <w:i/>
          <w:iCs/>
          <w:color w:val="808080"/>
          <w:sz w:val="20"/>
          <w:szCs w:val="20"/>
          <w:lang w:val="ro-RO"/>
        </w:rPr>
        <w:t>Sursă: Ordinul nr. 660/2026 privind modalitatea de derulare a procedurii amiabile, în forma publicată în data de 16 iunie 2026.</w:t>
      </w:r>
    </w:p>
    <w:p w14:paraId="61E953F9" w14:textId="77777777" w:rsidR="00F15E31" w:rsidRPr="0024559D" w:rsidRDefault="00F15E31" w:rsidP="009B0AC0">
      <w:pPr>
        <w:widowControl w:val="0"/>
        <w:spacing w:line="276" w:lineRule="auto"/>
        <w:contextualSpacing/>
        <w:jc w:val="both"/>
        <w:rPr>
          <w:rFonts w:ascii="Arial" w:eastAsia="Calibri" w:hAnsi="Arial" w:cs="Arial"/>
          <w:i/>
          <w:iCs/>
          <w:color w:val="808080"/>
          <w:sz w:val="20"/>
          <w:szCs w:val="20"/>
          <w:lang w:val="ro-RO"/>
        </w:rPr>
      </w:pPr>
    </w:p>
    <w:p w14:paraId="23EF310C" w14:textId="77777777" w:rsidR="00773F66" w:rsidRPr="00F15E31" w:rsidRDefault="00773F66" w:rsidP="00773F66">
      <w:pPr>
        <w:widowControl w:val="0"/>
        <w:spacing w:line="276" w:lineRule="auto"/>
        <w:contextualSpacing/>
        <w:jc w:val="both"/>
        <w:rPr>
          <w:rFonts w:ascii="Arial" w:eastAsia="Calibri" w:hAnsi="Arial" w:cs="Arial"/>
          <w:i/>
          <w:iCs/>
          <w:color w:val="808080"/>
          <w:sz w:val="22"/>
          <w:szCs w:val="22"/>
          <w:lang w:val="ro-RO"/>
        </w:rPr>
      </w:pPr>
    </w:p>
    <w:p w14:paraId="2A394D10" w14:textId="77777777" w:rsidR="00773F66" w:rsidRPr="00F15E31" w:rsidRDefault="00773F66" w:rsidP="00773F66">
      <w:pPr>
        <w:widowControl w:val="0"/>
        <w:numPr>
          <w:ilvl w:val="0"/>
          <w:numId w:val="34"/>
        </w:numPr>
        <w:spacing w:line="276" w:lineRule="auto"/>
        <w:contextualSpacing/>
        <w:jc w:val="both"/>
        <w:rPr>
          <w:rFonts w:ascii="Arial" w:eastAsia="Calibri" w:hAnsi="Arial" w:cs="Arial"/>
          <w:b/>
          <w:bCs/>
          <w:color w:val="005233"/>
          <w:sz w:val="22"/>
          <w:szCs w:val="22"/>
          <w:u w:val="single"/>
          <w:lang w:val="ro-RO"/>
        </w:rPr>
      </w:pPr>
      <w:r w:rsidRPr="00F15E31">
        <w:rPr>
          <w:rFonts w:ascii="Arial" w:eastAsia="Calibri" w:hAnsi="Arial" w:cs="Arial"/>
          <w:b/>
          <w:bCs/>
          <w:color w:val="005233"/>
          <w:sz w:val="22"/>
          <w:szCs w:val="22"/>
          <w:u w:val="single"/>
          <w:lang w:val="ro-RO"/>
        </w:rPr>
        <w:t>Procedura de desfășurare a întâlnirilor dintre organul fiscal central și contribuabili prin mijloace video de comunicare la distanță</w:t>
      </w:r>
    </w:p>
    <w:p w14:paraId="734E1F06" w14:textId="77777777" w:rsidR="00773F66" w:rsidRPr="0024559D" w:rsidRDefault="00773F66" w:rsidP="00773F66">
      <w:pPr>
        <w:widowControl w:val="0"/>
        <w:spacing w:line="276" w:lineRule="auto"/>
        <w:contextualSpacing/>
        <w:jc w:val="both"/>
        <w:rPr>
          <w:rFonts w:ascii="Arial" w:eastAsia="Calibri" w:hAnsi="Arial" w:cs="Arial"/>
          <w:b/>
          <w:bCs/>
          <w:sz w:val="20"/>
          <w:szCs w:val="20"/>
          <w:lang w:val="ro-RO"/>
        </w:rPr>
      </w:pPr>
    </w:p>
    <w:p w14:paraId="17091C92" w14:textId="77777777" w:rsidR="00773F66" w:rsidRPr="0024559D" w:rsidRDefault="00773F66" w:rsidP="00773F66">
      <w:pPr>
        <w:widowControl w:val="0"/>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Autoritățile fiscale au publicat procedura de desfășurare a întâlnirilor dintre organul fiscal central și contribuabili prin mijloace video de comunicare la distanță. Principalele prevederi ale procedurii sunt următoarele: </w:t>
      </w:r>
    </w:p>
    <w:p w14:paraId="5399DC63" w14:textId="77777777" w:rsidR="00773F66" w:rsidRPr="0024559D" w:rsidRDefault="00773F66" w:rsidP="00773F66">
      <w:pPr>
        <w:widowControl w:val="0"/>
        <w:spacing w:line="276" w:lineRule="auto"/>
        <w:contextualSpacing/>
        <w:jc w:val="both"/>
        <w:rPr>
          <w:rFonts w:ascii="Arial" w:eastAsia="Calibri" w:hAnsi="Arial" w:cs="Arial"/>
          <w:b/>
          <w:bCs/>
          <w:sz w:val="20"/>
          <w:szCs w:val="20"/>
          <w:lang w:val="ro-RO"/>
        </w:rPr>
      </w:pPr>
    </w:p>
    <w:p w14:paraId="50A8A984" w14:textId="77777777" w:rsidR="00773F66" w:rsidRPr="0024559D" w:rsidRDefault="00773F66" w:rsidP="00773F66">
      <w:pPr>
        <w:widowControl w:val="0"/>
        <w:numPr>
          <w:ilvl w:val="0"/>
          <w:numId w:val="41"/>
        </w:numPr>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Organul fiscal informează contribuabilul, prin contul SPV, cu privire la posibilitatea desfășurării anumitor proceduri fiscale prin videoconferință, precum și cu privire la data și ora întâlnirii. Opțiunea pentru acest format trebuie exercitată în termen de 2 zile lucrătoare de la comunicare. În caz contrar considerându-se că persoana nu a optat pentru videoconferință.</w:t>
      </w:r>
    </w:p>
    <w:p w14:paraId="717C07D7" w14:textId="77777777" w:rsidR="00773F66" w:rsidRPr="0024559D" w:rsidRDefault="00773F66" w:rsidP="00773F66">
      <w:pPr>
        <w:widowControl w:val="0"/>
        <w:spacing w:line="276" w:lineRule="auto"/>
        <w:ind w:left="360"/>
        <w:contextualSpacing/>
        <w:jc w:val="both"/>
        <w:rPr>
          <w:rFonts w:ascii="Arial" w:eastAsia="Calibri" w:hAnsi="Arial" w:cs="Arial"/>
          <w:sz w:val="20"/>
          <w:szCs w:val="20"/>
          <w:lang w:val="ro-RO"/>
        </w:rPr>
      </w:pPr>
    </w:p>
    <w:p w14:paraId="3E45A99C" w14:textId="77777777" w:rsidR="00773F66" w:rsidRPr="0024559D" w:rsidRDefault="00773F66" w:rsidP="00773F66">
      <w:pPr>
        <w:widowControl w:val="0"/>
        <w:numPr>
          <w:ilvl w:val="0"/>
          <w:numId w:val="41"/>
        </w:numPr>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Contribuabilul poate refuza participarea sau poate solicita amânarea întâlnirii, în condițiile prevăzute de lege. În cazul procedurilor de audiere, refuzul explicit al participării la termenul stabilit determină considerarea procedurii de audiere ca fiind îndeplinită.</w:t>
      </w:r>
    </w:p>
    <w:p w14:paraId="11888BBC" w14:textId="77777777" w:rsidR="00773F66" w:rsidRPr="0024559D" w:rsidRDefault="00773F66" w:rsidP="00773F66">
      <w:pPr>
        <w:widowControl w:val="0"/>
        <w:spacing w:line="276" w:lineRule="auto"/>
        <w:contextualSpacing/>
        <w:jc w:val="both"/>
        <w:rPr>
          <w:rFonts w:ascii="Arial" w:eastAsia="Calibri" w:hAnsi="Arial" w:cs="Arial"/>
          <w:sz w:val="20"/>
          <w:szCs w:val="20"/>
          <w:lang w:val="ro-RO"/>
        </w:rPr>
      </w:pPr>
    </w:p>
    <w:p w14:paraId="3E655867" w14:textId="77777777" w:rsidR="00773F66" w:rsidRPr="0024559D" w:rsidRDefault="00773F66" w:rsidP="00773F66">
      <w:pPr>
        <w:widowControl w:val="0"/>
        <w:numPr>
          <w:ilvl w:val="0"/>
          <w:numId w:val="41"/>
        </w:numPr>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Întâlnirile prin videoconferință pot fi organizate pentru: control fiscal (inclusiv începere, derulare și discuții finale), verificarea situației fiscale, audieri, audiență și mediere, precum și alte proceduri stabilite de organul fiscal.</w:t>
      </w:r>
    </w:p>
    <w:p w14:paraId="50FD4E98" w14:textId="77777777" w:rsidR="00773F66" w:rsidRPr="0024559D" w:rsidRDefault="00773F66" w:rsidP="00773F66">
      <w:pPr>
        <w:widowControl w:val="0"/>
        <w:spacing w:line="276" w:lineRule="auto"/>
        <w:contextualSpacing/>
        <w:jc w:val="both"/>
        <w:rPr>
          <w:rFonts w:ascii="Arial" w:eastAsia="Calibri" w:hAnsi="Arial" w:cs="Arial"/>
          <w:sz w:val="20"/>
          <w:szCs w:val="20"/>
          <w:lang w:val="ro-RO"/>
        </w:rPr>
      </w:pPr>
    </w:p>
    <w:p w14:paraId="20BCFBA1" w14:textId="77777777" w:rsidR="00773F66" w:rsidRPr="0024559D" w:rsidRDefault="00773F66" w:rsidP="00773F66">
      <w:pPr>
        <w:widowControl w:val="0"/>
        <w:numPr>
          <w:ilvl w:val="0"/>
          <w:numId w:val="41"/>
        </w:numPr>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La întâlnirile desfășurate prin videoconferință pot participa contribuabilul, reprezentantul legal sau persoanele împuternicite, cu condiția transmiterii prin SPV a datelor de identificare și, după caz, a documentelor care atestă reprezentarea/actul de împuternicire. </w:t>
      </w:r>
    </w:p>
    <w:p w14:paraId="0D0E243C" w14:textId="77777777" w:rsidR="00773F66" w:rsidRPr="0024559D" w:rsidRDefault="00773F66" w:rsidP="00773F66">
      <w:pPr>
        <w:widowControl w:val="0"/>
        <w:spacing w:line="276" w:lineRule="auto"/>
        <w:ind w:left="360"/>
        <w:contextualSpacing/>
        <w:jc w:val="both"/>
        <w:rPr>
          <w:rFonts w:ascii="Arial" w:eastAsia="Calibri" w:hAnsi="Arial" w:cs="Arial"/>
          <w:sz w:val="20"/>
          <w:szCs w:val="20"/>
          <w:lang w:val="ro-RO"/>
        </w:rPr>
      </w:pPr>
    </w:p>
    <w:p w14:paraId="7290D5FB" w14:textId="77777777" w:rsidR="00773F66" w:rsidRPr="0024559D" w:rsidRDefault="00773F66" w:rsidP="00773F66">
      <w:pPr>
        <w:widowControl w:val="0"/>
        <w:numPr>
          <w:ilvl w:val="0"/>
          <w:numId w:val="41"/>
        </w:numPr>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Împuternicirea trebuie semnată cu semnătură electronică calificată sau cu certificat pentru semnătura electronică avansată emis de MAI și are caracter special, fiind valabilă exclusiv pentru întâlnirea respectivă. Orice modificare privind participanții trebuie comunicată prin contul SPV, iar accesul este permis doar persoanelor validate de organul fiscal.</w:t>
      </w:r>
    </w:p>
    <w:p w14:paraId="396DE343" w14:textId="77777777" w:rsidR="00773F66" w:rsidRPr="0024559D" w:rsidRDefault="00773F66" w:rsidP="00773F66">
      <w:pPr>
        <w:widowControl w:val="0"/>
        <w:spacing w:line="276" w:lineRule="auto"/>
        <w:contextualSpacing/>
        <w:jc w:val="both"/>
        <w:rPr>
          <w:rFonts w:ascii="Arial" w:eastAsia="Calibri" w:hAnsi="Arial" w:cs="Arial"/>
          <w:sz w:val="20"/>
          <w:szCs w:val="20"/>
          <w:lang w:val="ro-RO"/>
        </w:rPr>
      </w:pPr>
    </w:p>
    <w:p w14:paraId="47B45C87" w14:textId="77777777" w:rsidR="00773F66" w:rsidRPr="0024559D" w:rsidRDefault="00773F66" w:rsidP="00773F66">
      <w:pPr>
        <w:widowControl w:val="0"/>
        <w:numPr>
          <w:ilvl w:val="0"/>
          <w:numId w:val="41"/>
        </w:numPr>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Participanții se pot autentifica în platformă prin certificatul asociat contului SPV, prin credențialele SPV (utilizator, parolă și cod OTP) sau prin sistemul ROeID. </w:t>
      </w:r>
    </w:p>
    <w:p w14:paraId="6D4E830D" w14:textId="77777777" w:rsidR="00773F66" w:rsidRPr="0024559D" w:rsidRDefault="00773F66" w:rsidP="00773F66">
      <w:pPr>
        <w:widowControl w:val="0"/>
        <w:spacing w:line="276" w:lineRule="auto"/>
        <w:ind w:left="360"/>
        <w:contextualSpacing/>
        <w:jc w:val="both"/>
        <w:rPr>
          <w:rFonts w:ascii="Arial" w:eastAsia="Calibri" w:hAnsi="Arial" w:cs="Arial"/>
          <w:sz w:val="20"/>
          <w:szCs w:val="20"/>
          <w:lang w:val="ro-RO"/>
        </w:rPr>
      </w:pPr>
    </w:p>
    <w:p w14:paraId="78068C05" w14:textId="77777777" w:rsidR="00773F66" w:rsidRPr="0024559D" w:rsidRDefault="00773F66" w:rsidP="00773F66">
      <w:pPr>
        <w:widowControl w:val="0"/>
        <w:numPr>
          <w:ilvl w:val="0"/>
          <w:numId w:val="41"/>
        </w:numPr>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Cu o zi lucrătoare înainte de întâlnire, organul fiscal transmite prin platforma SPV linkul de acces pentru întâlnire, precum și regulile și condițiile de participare. Responsabilitatea distribuirii linkului către persoanele participante la întâlnire revine contribuabilului. </w:t>
      </w:r>
    </w:p>
    <w:p w14:paraId="2E36973A" w14:textId="77777777" w:rsidR="00773F66" w:rsidRPr="0024559D" w:rsidRDefault="00773F66" w:rsidP="00773F66">
      <w:pPr>
        <w:widowControl w:val="0"/>
        <w:spacing w:line="276" w:lineRule="auto"/>
        <w:contextualSpacing/>
        <w:jc w:val="both"/>
        <w:rPr>
          <w:rFonts w:ascii="Arial" w:eastAsia="Calibri" w:hAnsi="Arial" w:cs="Arial"/>
          <w:sz w:val="20"/>
          <w:szCs w:val="20"/>
          <w:lang w:val="ro-RO"/>
        </w:rPr>
      </w:pPr>
    </w:p>
    <w:p w14:paraId="7F5445D6" w14:textId="77777777" w:rsidR="00773F66" w:rsidRPr="0024559D" w:rsidRDefault="00773F66" w:rsidP="00773F66">
      <w:pPr>
        <w:widowControl w:val="0"/>
        <w:numPr>
          <w:ilvl w:val="0"/>
          <w:numId w:val="41"/>
        </w:numPr>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Participanții trebuie să respecte condițiile tehnice și regulile de conduită stabilite de procedură, fiind interzisă înregistrarea sau distribuirea conținutului întâlnirii. În cazul nerespectării acestora, organul fiscal poate încheia întâlnirea, fără posibilitatea reluării la o dată ulterioară; doar eventualele probleme tehnice conduc la reprogramarea acesteia.</w:t>
      </w:r>
    </w:p>
    <w:p w14:paraId="5F0824AB" w14:textId="77777777" w:rsidR="00773F66" w:rsidRDefault="00773F66" w:rsidP="00773F66">
      <w:pPr>
        <w:widowControl w:val="0"/>
        <w:spacing w:line="276" w:lineRule="auto"/>
        <w:contextualSpacing/>
        <w:jc w:val="both"/>
        <w:rPr>
          <w:rFonts w:ascii="Arial" w:eastAsia="Calibri" w:hAnsi="Arial" w:cs="Arial"/>
          <w:sz w:val="20"/>
          <w:szCs w:val="20"/>
          <w:lang w:val="ro-RO"/>
        </w:rPr>
      </w:pPr>
    </w:p>
    <w:p w14:paraId="37AFE17B" w14:textId="77777777" w:rsidR="003977DB" w:rsidRPr="0024559D" w:rsidRDefault="003977DB" w:rsidP="00773F66">
      <w:pPr>
        <w:widowControl w:val="0"/>
        <w:spacing w:line="276" w:lineRule="auto"/>
        <w:contextualSpacing/>
        <w:jc w:val="both"/>
        <w:rPr>
          <w:rFonts w:ascii="Arial" w:eastAsia="Calibri" w:hAnsi="Arial" w:cs="Arial"/>
          <w:sz w:val="20"/>
          <w:szCs w:val="20"/>
          <w:lang w:val="ro-RO"/>
        </w:rPr>
      </w:pPr>
    </w:p>
    <w:p w14:paraId="0B9954E6" w14:textId="77777777" w:rsidR="003977DB" w:rsidRDefault="003977DB" w:rsidP="003977DB">
      <w:pPr>
        <w:widowControl w:val="0"/>
        <w:spacing w:line="276" w:lineRule="auto"/>
        <w:ind w:left="360"/>
        <w:contextualSpacing/>
        <w:jc w:val="both"/>
        <w:rPr>
          <w:rFonts w:ascii="Arial" w:eastAsia="Calibri" w:hAnsi="Arial" w:cs="Arial"/>
          <w:sz w:val="20"/>
          <w:szCs w:val="20"/>
          <w:lang w:val="ro-RO"/>
        </w:rPr>
      </w:pPr>
    </w:p>
    <w:p w14:paraId="56738CC3" w14:textId="716A06F2" w:rsidR="00773F66" w:rsidRPr="0024559D" w:rsidRDefault="00773F66" w:rsidP="00773F66">
      <w:pPr>
        <w:widowControl w:val="0"/>
        <w:numPr>
          <w:ilvl w:val="0"/>
          <w:numId w:val="41"/>
        </w:numPr>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 xml:space="preserve">Întâlnirile sunt înregistrate și transcrise de organul fiscal, iar minuta și celelalte documente aferente sunt comunicate contribuabilului prin platforma SPV. </w:t>
      </w:r>
    </w:p>
    <w:p w14:paraId="29EBEA1C" w14:textId="77777777" w:rsidR="00773F66" w:rsidRPr="0024559D" w:rsidRDefault="00773F66" w:rsidP="00773F66">
      <w:pPr>
        <w:widowControl w:val="0"/>
        <w:spacing w:line="276" w:lineRule="auto"/>
        <w:contextualSpacing/>
        <w:jc w:val="both"/>
        <w:rPr>
          <w:rFonts w:ascii="Arial" w:eastAsia="Calibri" w:hAnsi="Arial" w:cs="Arial"/>
          <w:sz w:val="20"/>
          <w:szCs w:val="20"/>
          <w:lang w:val="ro-RO"/>
        </w:rPr>
      </w:pPr>
    </w:p>
    <w:p w14:paraId="5A8102C5" w14:textId="77777777" w:rsidR="00773F66" w:rsidRPr="0024559D" w:rsidRDefault="00773F66" w:rsidP="00773F66">
      <w:pPr>
        <w:widowControl w:val="0"/>
        <w:numPr>
          <w:ilvl w:val="0"/>
          <w:numId w:val="41"/>
        </w:numPr>
        <w:spacing w:line="276" w:lineRule="auto"/>
        <w:contextualSpacing/>
        <w:jc w:val="both"/>
        <w:rPr>
          <w:rFonts w:ascii="Arial" w:eastAsia="Calibri" w:hAnsi="Arial" w:cs="Arial"/>
          <w:sz w:val="20"/>
          <w:szCs w:val="20"/>
          <w:lang w:val="ro-RO"/>
        </w:rPr>
      </w:pPr>
      <w:r w:rsidRPr="0024559D">
        <w:rPr>
          <w:rFonts w:ascii="Arial" w:eastAsia="Calibri" w:hAnsi="Arial" w:cs="Arial"/>
          <w:sz w:val="20"/>
          <w:szCs w:val="20"/>
          <w:lang w:val="ro-RO"/>
        </w:rPr>
        <w:t>Autoritățile fiscale române vor publica pe portalul propriu materiale informative privind utilizarea noii proceduri.</w:t>
      </w:r>
    </w:p>
    <w:p w14:paraId="22542E2A" w14:textId="77777777" w:rsidR="00773F66" w:rsidRPr="0024559D" w:rsidRDefault="00773F66" w:rsidP="00773F66">
      <w:pPr>
        <w:widowControl w:val="0"/>
        <w:spacing w:line="276" w:lineRule="auto"/>
        <w:contextualSpacing/>
        <w:jc w:val="both"/>
        <w:rPr>
          <w:rFonts w:ascii="Arial" w:eastAsia="Calibri" w:hAnsi="Arial" w:cs="Arial"/>
          <w:color w:val="808080"/>
          <w:sz w:val="20"/>
          <w:szCs w:val="20"/>
          <w:lang w:val="ro-RO"/>
        </w:rPr>
      </w:pPr>
    </w:p>
    <w:p w14:paraId="127BB8A2" w14:textId="77777777" w:rsidR="00773F66" w:rsidRPr="0024559D" w:rsidRDefault="00773F66" w:rsidP="00773F66">
      <w:pPr>
        <w:widowControl w:val="0"/>
        <w:spacing w:line="276" w:lineRule="auto"/>
        <w:contextualSpacing/>
        <w:jc w:val="both"/>
        <w:rPr>
          <w:rFonts w:ascii="Arial" w:eastAsia="Calibri" w:hAnsi="Arial" w:cs="Arial"/>
          <w:i/>
          <w:iCs/>
          <w:color w:val="808080"/>
          <w:sz w:val="20"/>
          <w:szCs w:val="20"/>
          <w:lang w:val="ro-RO"/>
        </w:rPr>
      </w:pPr>
      <w:r w:rsidRPr="0024559D">
        <w:rPr>
          <w:rFonts w:ascii="Arial" w:eastAsia="Calibri" w:hAnsi="Arial" w:cs="Arial"/>
          <w:i/>
          <w:iCs/>
          <w:color w:val="808080"/>
          <w:sz w:val="20"/>
          <w:szCs w:val="20"/>
          <w:lang w:val="ro-RO"/>
        </w:rPr>
        <w:t>Sursă: Ordinul nr. 705/2026 pentru aprobarea Procedurii privind desfăşurarea întâlnirilor dintre organul fiscal central şi contribuabili prin utilizarea mijloacelor video de comunicare la distanţă, în forma publicată în data de 15 iunie 2026</w:t>
      </w:r>
    </w:p>
    <w:p w14:paraId="1A19953D" w14:textId="77777777" w:rsidR="00773F66" w:rsidRDefault="00773F66" w:rsidP="00BA6B8C">
      <w:pPr>
        <w:widowControl w:val="0"/>
        <w:tabs>
          <w:tab w:val="left" w:pos="720"/>
        </w:tabs>
        <w:spacing w:after="0" w:line="276" w:lineRule="auto"/>
        <w:contextualSpacing/>
        <w:jc w:val="both"/>
        <w:rPr>
          <w:rFonts w:ascii="Arial" w:eastAsia="Calibri" w:hAnsi="Arial" w:cs="Arial"/>
          <w:b/>
          <w:bCs/>
          <w:color w:val="005233"/>
          <w:kern w:val="0"/>
          <w:sz w:val="20"/>
          <w:szCs w:val="20"/>
          <w:u w:val="single"/>
          <w:lang w:val="ro-RO"/>
          <w14:ligatures w14:val="none"/>
        </w:rPr>
      </w:pPr>
    </w:p>
    <w:p w14:paraId="515D016D" w14:textId="77777777" w:rsidR="00F15E31" w:rsidRDefault="00F15E31" w:rsidP="00FF13B3">
      <w:pPr>
        <w:widowControl w:val="0"/>
        <w:tabs>
          <w:tab w:val="left" w:pos="720"/>
        </w:tabs>
        <w:spacing w:after="0" w:line="276" w:lineRule="auto"/>
        <w:contextualSpacing/>
        <w:jc w:val="both"/>
        <w:rPr>
          <w:rFonts w:ascii="Arial" w:eastAsia="Calibri" w:hAnsi="Arial" w:cs="Arial"/>
          <w:kern w:val="0"/>
          <w:sz w:val="20"/>
          <w:szCs w:val="20"/>
          <w:lang w:val="ro-RO"/>
          <w14:ligatures w14:val="none"/>
        </w:rPr>
      </w:pPr>
    </w:p>
    <w:p w14:paraId="15F2C529" w14:textId="77777777" w:rsidR="00F15E31" w:rsidRDefault="00F15E31" w:rsidP="00FF13B3">
      <w:pPr>
        <w:widowControl w:val="0"/>
        <w:tabs>
          <w:tab w:val="left" w:pos="720"/>
        </w:tabs>
        <w:spacing w:after="0" w:line="276" w:lineRule="auto"/>
        <w:contextualSpacing/>
        <w:jc w:val="both"/>
        <w:rPr>
          <w:rFonts w:ascii="Arial" w:eastAsia="Calibri" w:hAnsi="Arial" w:cs="Arial"/>
          <w:kern w:val="0"/>
          <w:sz w:val="20"/>
          <w:szCs w:val="20"/>
          <w:lang w:val="ro-RO"/>
          <w14:ligatures w14:val="none"/>
        </w:rPr>
      </w:pPr>
    </w:p>
    <w:p w14:paraId="0841FA13" w14:textId="780C9666" w:rsidR="00FF13B3" w:rsidRDefault="00FF13B3" w:rsidP="00FF13B3">
      <w:pPr>
        <w:widowControl w:val="0"/>
        <w:tabs>
          <w:tab w:val="left" w:pos="720"/>
        </w:tabs>
        <w:spacing w:after="0" w:line="276" w:lineRule="auto"/>
        <w:contextualSpacing/>
        <w:jc w:val="both"/>
        <w:rPr>
          <w:rFonts w:ascii="Arial" w:eastAsia="Calibri" w:hAnsi="Arial" w:cs="Arial"/>
          <w:kern w:val="0"/>
          <w:sz w:val="20"/>
          <w:szCs w:val="20"/>
          <w:lang w:val="ro-RO"/>
          <w14:ligatures w14:val="none"/>
        </w:rPr>
      </w:pPr>
      <w:r w:rsidRPr="00BA6B8C">
        <w:rPr>
          <w:rFonts w:ascii="Arial" w:eastAsia="Calibri" w:hAnsi="Arial" w:cs="Arial"/>
          <w:kern w:val="0"/>
          <w:sz w:val="20"/>
          <w:szCs w:val="20"/>
          <w:lang w:val="ro-RO"/>
          <w14:ligatures w14:val="none"/>
        </w:rPr>
        <w:t>Acest buletin informativ este un serviciu al TPA Romania.</w:t>
      </w:r>
    </w:p>
    <w:p w14:paraId="66236485" w14:textId="77777777" w:rsidR="00FF13B3" w:rsidRPr="00BA6B8C" w:rsidRDefault="00FF13B3" w:rsidP="00FF13B3">
      <w:pPr>
        <w:widowControl w:val="0"/>
        <w:tabs>
          <w:tab w:val="left" w:pos="720"/>
        </w:tabs>
        <w:spacing w:after="0" w:line="276" w:lineRule="auto"/>
        <w:contextualSpacing/>
        <w:jc w:val="both"/>
        <w:rPr>
          <w:rFonts w:ascii="Arial" w:eastAsia="Calibri" w:hAnsi="Arial" w:cs="Arial"/>
          <w:kern w:val="0"/>
          <w:sz w:val="20"/>
          <w:szCs w:val="20"/>
          <w:lang w:val="ro-RO"/>
          <w14:ligatures w14:val="none"/>
        </w:rPr>
      </w:pPr>
    </w:p>
    <w:p w14:paraId="76D4364D" w14:textId="77777777" w:rsidR="00FF13B3" w:rsidRPr="00BA6B8C" w:rsidRDefault="00FF13B3" w:rsidP="00FF13B3">
      <w:pPr>
        <w:widowControl w:val="0"/>
        <w:tabs>
          <w:tab w:val="left" w:pos="720"/>
        </w:tabs>
        <w:spacing w:after="0" w:line="276" w:lineRule="auto"/>
        <w:contextualSpacing/>
        <w:jc w:val="both"/>
        <w:rPr>
          <w:rFonts w:ascii="Arial" w:eastAsia="Calibri" w:hAnsi="Arial" w:cs="Arial"/>
          <w:b/>
          <w:kern w:val="0"/>
          <w:sz w:val="20"/>
          <w:szCs w:val="20"/>
          <w:lang w:val="ro-RO"/>
          <w14:ligatures w14:val="none"/>
        </w:rPr>
      </w:pPr>
      <w:r w:rsidRPr="00BA6B8C">
        <w:rPr>
          <w:rFonts w:ascii="Arial" w:eastAsia="Calibri" w:hAnsi="Arial" w:cs="Arial"/>
          <w:b/>
          <w:kern w:val="0"/>
          <w:sz w:val="20"/>
          <w:szCs w:val="20"/>
          <w:lang w:val="ro-RO"/>
          <w14:ligatures w14:val="none"/>
        </w:rPr>
        <w:t>TPA România</w:t>
      </w:r>
    </w:p>
    <w:p w14:paraId="46342F11" w14:textId="77777777" w:rsidR="00FF13B3" w:rsidRPr="00BA6B8C" w:rsidRDefault="00FF13B3" w:rsidP="00FF13B3">
      <w:pPr>
        <w:widowControl w:val="0"/>
        <w:tabs>
          <w:tab w:val="left" w:pos="720"/>
        </w:tabs>
        <w:suppressAutoHyphens/>
        <w:spacing w:after="0" w:line="276" w:lineRule="auto"/>
        <w:contextualSpacing/>
        <w:jc w:val="both"/>
        <w:rPr>
          <w:rFonts w:ascii="Arial" w:eastAsia="Calibri" w:hAnsi="Arial" w:cs="Arial"/>
          <w:kern w:val="0"/>
          <w:sz w:val="20"/>
          <w:szCs w:val="20"/>
          <w:lang w:val="en-GB"/>
          <w14:ligatures w14:val="none"/>
        </w:rPr>
      </w:pPr>
      <w:r w:rsidRPr="00BA6B8C">
        <w:rPr>
          <w:rFonts w:ascii="Arial" w:eastAsia="Calibri" w:hAnsi="Arial" w:cs="Arial"/>
          <w:kern w:val="0"/>
          <w:sz w:val="20"/>
          <w:szCs w:val="20"/>
          <w:lang w:val="en-GB"/>
          <w14:ligatures w14:val="none"/>
        </w:rPr>
        <w:t xml:space="preserve">Crystal Tower Building, </w:t>
      </w:r>
    </w:p>
    <w:p w14:paraId="5AFE8C32" w14:textId="77777777" w:rsidR="00FF13B3" w:rsidRPr="00BA6B8C" w:rsidRDefault="00FF13B3" w:rsidP="00FF13B3">
      <w:pPr>
        <w:widowControl w:val="0"/>
        <w:tabs>
          <w:tab w:val="left" w:pos="720"/>
        </w:tabs>
        <w:suppressAutoHyphens/>
        <w:spacing w:after="0" w:line="276" w:lineRule="auto"/>
        <w:contextualSpacing/>
        <w:jc w:val="both"/>
        <w:rPr>
          <w:rFonts w:ascii="Arial" w:eastAsia="Calibri" w:hAnsi="Arial" w:cs="Arial"/>
          <w:kern w:val="0"/>
          <w:sz w:val="20"/>
          <w:szCs w:val="20"/>
          <w:lang w:val="en-GB"/>
          <w14:ligatures w14:val="none"/>
        </w:rPr>
      </w:pPr>
      <w:r w:rsidRPr="00BA6B8C">
        <w:rPr>
          <w:rFonts w:ascii="Arial" w:eastAsia="Calibri" w:hAnsi="Arial" w:cs="Arial"/>
          <w:kern w:val="0"/>
          <w:sz w:val="20"/>
          <w:szCs w:val="20"/>
          <w:lang w:val="en-GB"/>
          <w14:ligatures w14:val="none"/>
        </w:rPr>
        <w:t xml:space="preserve">Blvd. Iancu de Hunedoara 48, </w:t>
      </w:r>
    </w:p>
    <w:p w14:paraId="72553F04" w14:textId="77777777" w:rsidR="00FF13B3" w:rsidRPr="00BA6B8C" w:rsidRDefault="00FF13B3" w:rsidP="00FF13B3">
      <w:pPr>
        <w:widowControl w:val="0"/>
        <w:tabs>
          <w:tab w:val="left" w:pos="720"/>
        </w:tabs>
        <w:suppressAutoHyphens/>
        <w:spacing w:after="0" w:line="276" w:lineRule="auto"/>
        <w:contextualSpacing/>
        <w:jc w:val="both"/>
        <w:rPr>
          <w:rFonts w:ascii="Arial" w:eastAsia="Calibri" w:hAnsi="Arial" w:cs="Arial"/>
          <w:kern w:val="0"/>
          <w:sz w:val="20"/>
          <w:szCs w:val="20"/>
          <w:lang w:val="en-GB"/>
          <w14:ligatures w14:val="none"/>
        </w:rPr>
      </w:pPr>
      <w:r w:rsidRPr="00BA6B8C">
        <w:rPr>
          <w:rFonts w:ascii="Arial" w:eastAsia="Calibri" w:hAnsi="Arial" w:cs="Arial"/>
          <w:kern w:val="0"/>
          <w:sz w:val="20"/>
          <w:szCs w:val="20"/>
          <w:lang w:val="en-GB"/>
          <w14:ligatures w14:val="none"/>
        </w:rPr>
        <w:t>011745 Bucharest, Romania.</w:t>
      </w:r>
    </w:p>
    <w:p w14:paraId="4B5F6906" w14:textId="77777777" w:rsidR="00FF13B3" w:rsidRPr="00BA6B8C" w:rsidRDefault="00FF13B3" w:rsidP="00FF13B3">
      <w:pPr>
        <w:widowControl w:val="0"/>
        <w:tabs>
          <w:tab w:val="left" w:pos="720"/>
        </w:tabs>
        <w:suppressAutoHyphens/>
        <w:spacing w:after="0" w:line="276" w:lineRule="auto"/>
        <w:contextualSpacing/>
        <w:jc w:val="both"/>
        <w:rPr>
          <w:rFonts w:ascii="Arial" w:eastAsia="Calibri" w:hAnsi="Arial" w:cs="Arial"/>
          <w:kern w:val="0"/>
          <w:sz w:val="20"/>
          <w:szCs w:val="20"/>
          <w:lang w:val="en-GB"/>
          <w14:ligatures w14:val="none"/>
        </w:rPr>
      </w:pPr>
      <w:r w:rsidRPr="00BA6B8C">
        <w:rPr>
          <w:rFonts w:ascii="Arial" w:eastAsia="Calibri" w:hAnsi="Arial" w:cs="Arial"/>
          <w:kern w:val="0"/>
          <w:sz w:val="20"/>
          <w:szCs w:val="20"/>
          <w:lang w:val="en-GB"/>
          <w14:ligatures w14:val="none"/>
        </w:rPr>
        <w:t>Tel: +40 21 310 06-69</w:t>
      </w:r>
    </w:p>
    <w:p w14:paraId="264CECAA" w14:textId="77777777" w:rsidR="00FF13B3" w:rsidRPr="00BA6B8C" w:rsidRDefault="00FF13B3" w:rsidP="00FF13B3">
      <w:pPr>
        <w:widowControl w:val="0"/>
        <w:tabs>
          <w:tab w:val="left" w:pos="720"/>
        </w:tabs>
        <w:suppressAutoHyphens/>
        <w:spacing w:after="0" w:line="276" w:lineRule="auto"/>
        <w:contextualSpacing/>
        <w:jc w:val="both"/>
        <w:rPr>
          <w:rFonts w:ascii="Arial" w:eastAsia="Calibri" w:hAnsi="Arial" w:cs="Arial"/>
          <w:kern w:val="0"/>
          <w:sz w:val="20"/>
          <w:szCs w:val="20"/>
          <w:lang w:val="en-GB"/>
          <w14:ligatures w14:val="none"/>
        </w:rPr>
      </w:pPr>
      <w:r w:rsidRPr="00BA6B8C">
        <w:rPr>
          <w:rFonts w:ascii="Arial" w:eastAsia="Calibri" w:hAnsi="Arial" w:cs="Arial"/>
          <w:kern w:val="0"/>
          <w:sz w:val="20"/>
          <w:szCs w:val="20"/>
          <w:lang w:val="en-GB"/>
          <w14:ligatures w14:val="none"/>
        </w:rPr>
        <w:t>Fax: +40 21 310 06-68</w:t>
      </w:r>
    </w:p>
    <w:p w14:paraId="701FF54B" w14:textId="77777777" w:rsidR="00FF13B3" w:rsidRPr="00BA6B8C" w:rsidRDefault="00FF13B3" w:rsidP="00FF13B3">
      <w:pPr>
        <w:widowControl w:val="0"/>
        <w:tabs>
          <w:tab w:val="left" w:pos="720"/>
        </w:tabs>
        <w:autoSpaceDE w:val="0"/>
        <w:autoSpaceDN w:val="0"/>
        <w:adjustRightInd w:val="0"/>
        <w:spacing w:after="0" w:line="276" w:lineRule="auto"/>
        <w:contextualSpacing/>
        <w:jc w:val="both"/>
        <w:rPr>
          <w:rFonts w:ascii="Arial" w:eastAsia="Calibri" w:hAnsi="Arial" w:cs="Arial"/>
          <w:b/>
          <w:bCs/>
          <w:kern w:val="0"/>
          <w:sz w:val="20"/>
          <w:szCs w:val="20"/>
          <w:u w:val="single"/>
          <w:lang w:val="ro-RO"/>
          <w14:ligatures w14:val="none"/>
        </w:rPr>
      </w:pPr>
      <w:hyperlink w:history="1">
        <w:r w:rsidRPr="00BA6B8C">
          <w:rPr>
            <w:rFonts w:ascii="Arial" w:eastAsia="Calibri" w:hAnsi="Arial" w:cs="Arial"/>
            <w:b/>
            <w:kern w:val="0"/>
            <w:sz w:val="20"/>
            <w:szCs w:val="20"/>
            <w:u w:val="single"/>
            <w:lang w:val="ro-RO"/>
            <w14:ligatures w14:val="none"/>
          </w:rPr>
          <w:t>www.tpa-group.ro</w:t>
        </w:r>
      </w:hyperlink>
    </w:p>
    <w:p w14:paraId="15123FA6" w14:textId="77777777" w:rsidR="00FF13B3" w:rsidRPr="00BA6B8C" w:rsidRDefault="00FF13B3" w:rsidP="00FF13B3">
      <w:pPr>
        <w:widowControl w:val="0"/>
        <w:tabs>
          <w:tab w:val="left" w:pos="720"/>
        </w:tabs>
        <w:autoSpaceDE w:val="0"/>
        <w:autoSpaceDN w:val="0"/>
        <w:adjustRightInd w:val="0"/>
        <w:spacing w:after="0" w:line="276" w:lineRule="auto"/>
        <w:contextualSpacing/>
        <w:jc w:val="both"/>
        <w:rPr>
          <w:rFonts w:ascii="Arial" w:eastAsia="Calibri" w:hAnsi="Arial" w:cs="Arial"/>
          <w:b/>
          <w:kern w:val="0"/>
          <w:sz w:val="20"/>
          <w:szCs w:val="20"/>
          <w:u w:val="single"/>
          <w:lang w:val="ro-RO"/>
          <w14:ligatures w14:val="none"/>
        </w:rPr>
      </w:pPr>
      <w:hyperlink w:history="1">
        <w:r w:rsidRPr="00BA6B8C">
          <w:rPr>
            <w:rFonts w:ascii="Arial" w:eastAsia="Calibri" w:hAnsi="Arial" w:cs="Arial"/>
            <w:b/>
            <w:kern w:val="0"/>
            <w:sz w:val="20"/>
            <w:szCs w:val="20"/>
            <w:u w:val="single"/>
            <w:lang w:val="ro-RO"/>
            <w14:ligatures w14:val="none"/>
          </w:rPr>
          <w:t>www.tpa-group.com</w:t>
        </w:r>
      </w:hyperlink>
    </w:p>
    <w:p w14:paraId="78209174" w14:textId="77777777" w:rsidR="00FF13B3" w:rsidRPr="00BA6B8C" w:rsidRDefault="00FF13B3" w:rsidP="00FF13B3">
      <w:pPr>
        <w:widowControl w:val="0"/>
        <w:tabs>
          <w:tab w:val="left" w:pos="720"/>
        </w:tabs>
        <w:autoSpaceDE w:val="0"/>
        <w:autoSpaceDN w:val="0"/>
        <w:adjustRightInd w:val="0"/>
        <w:spacing w:after="0" w:line="276" w:lineRule="auto"/>
        <w:contextualSpacing/>
        <w:jc w:val="both"/>
        <w:rPr>
          <w:rFonts w:ascii="Arial" w:eastAsia="Calibri" w:hAnsi="Arial" w:cs="Arial"/>
          <w:b/>
          <w:kern w:val="0"/>
          <w:sz w:val="20"/>
          <w:szCs w:val="20"/>
          <w:u w:val="single"/>
          <w:lang w:val="ro-RO"/>
          <w14:ligatures w14:val="none"/>
        </w:rPr>
      </w:pPr>
    </w:p>
    <w:p w14:paraId="6288C18F" w14:textId="77777777" w:rsidR="003977DB" w:rsidRDefault="003977DB" w:rsidP="003977DB">
      <w:pPr>
        <w:rPr>
          <w:rFonts w:ascii="Arial" w:eastAsia="Calibri" w:hAnsi="Arial" w:cs="Arial"/>
          <w:kern w:val="0"/>
          <w:position w:val="6"/>
          <w:sz w:val="20"/>
          <w:szCs w:val="20"/>
          <w:lang w:val="ro-RO"/>
          <w14:ligatures w14:val="none"/>
        </w:rPr>
      </w:pPr>
    </w:p>
    <w:p w14:paraId="1478FA4B" w14:textId="501220FF" w:rsidR="00FF13B3" w:rsidRPr="003977DB" w:rsidRDefault="00FF13B3" w:rsidP="003977DB">
      <w:pPr>
        <w:rPr>
          <w:rFonts w:ascii="Arial" w:eastAsia="Calibri" w:hAnsi="Arial" w:cs="Arial"/>
          <w:kern w:val="0"/>
          <w:position w:val="6"/>
          <w:sz w:val="20"/>
          <w:szCs w:val="20"/>
          <w:lang w:val="ro-RO"/>
          <w14:ligatures w14:val="none"/>
        </w:rPr>
      </w:pPr>
      <w:r w:rsidRPr="00BA6B8C">
        <w:rPr>
          <w:rFonts w:ascii="Arial" w:eastAsia="Calibri" w:hAnsi="Arial" w:cs="Arial"/>
          <w:kern w:val="0"/>
          <w:position w:val="6"/>
          <w:sz w:val="20"/>
          <w:szCs w:val="20"/>
          <w:lang w:val="ro-RO"/>
          <w14:ligatures w14:val="none"/>
        </w:rPr>
        <w:t>Dacă doriți să primiți regulat noutăți fiscale și legislative vă rugăm să vă abonați la</w:t>
      </w:r>
      <w:r w:rsidRPr="00BA6B8C">
        <w:rPr>
          <w:rFonts w:ascii="Arial" w:eastAsia="Times Regular" w:hAnsi="Arial" w:cs="Arial"/>
          <w:kern w:val="0"/>
          <w:position w:val="6"/>
          <w:sz w:val="20"/>
          <w:szCs w:val="20"/>
          <w:lang w:val="ro-RO"/>
          <w14:ligatures w14:val="none"/>
        </w:rPr>
        <w:t xml:space="preserve"> </w:t>
      </w:r>
      <w:hyperlink r:id="rId10" w:history="1">
        <w:r w:rsidRPr="00BA6B8C">
          <w:rPr>
            <w:rFonts w:ascii="Arial" w:eastAsia="Times Regular" w:hAnsi="Arial" w:cs="Arial"/>
            <w:kern w:val="0"/>
            <w:position w:val="6"/>
            <w:sz w:val="20"/>
            <w:szCs w:val="20"/>
            <w:u w:val="single"/>
            <w:lang w:val="ro-RO"/>
            <w14:ligatures w14:val="none"/>
          </w:rPr>
          <w:t>newsletter</w:t>
        </w:r>
      </w:hyperlink>
      <w:r w:rsidRPr="00BA6B8C">
        <w:rPr>
          <w:rFonts w:ascii="Arial" w:eastAsia="Times Regular" w:hAnsi="Arial" w:cs="Arial"/>
          <w:kern w:val="0"/>
          <w:position w:val="6"/>
          <w:sz w:val="20"/>
          <w:szCs w:val="20"/>
          <w:lang w:val="ro-RO"/>
          <w14:ligatures w14:val="none"/>
        </w:rPr>
        <w:t>.</w:t>
      </w:r>
    </w:p>
    <w:p w14:paraId="6899156E" w14:textId="63E57114" w:rsidR="00FF13B3" w:rsidRPr="00BA6B8C" w:rsidRDefault="00FF13B3" w:rsidP="00FF13B3">
      <w:pPr>
        <w:widowControl w:val="0"/>
        <w:spacing w:before="200" w:after="0" w:line="276" w:lineRule="auto"/>
        <w:ind w:right="-1418"/>
        <w:contextualSpacing/>
        <w:rPr>
          <w:rFonts w:ascii="Arial" w:eastAsia="Calibri" w:hAnsi="Arial" w:cs="Arial"/>
          <w:kern w:val="0"/>
          <w:sz w:val="16"/>
          <w:szCs w:val="16"/>
          <w:lang w:val="ro-RO"/>
          <w14:ligatures w14:val="none"/>
        </w:rPr>
      </w:pPr>
      <w:r w:rsidRPr="00BA6B8C">
        <w:rPr>
          <w:rFonts w:ascii="Arial" w:eastAsia="Calibri" w:hAnsi="Arial" w:cs="Arial"/>
          <w:noProof/>
          <w:kern w:val="0"/>
          <w:sz w:val="20"/>
          <w:szCs w:val="20"/>
          <w:lang w:val="ro-RO"/>
          <w14:ligatures w14:val="none"/>
        </w:rPr>
        <mc:AlternateContent>
          <mc:Choice Requires="wps">
            <w:drawing>
              <wp:anchor distT="0" distB="0" distL="114300" distR="114300" simplePos="0" relativeHeight="251660290" behindDoc="0" locked="0" layoutInCell="1" allowOverlap="1" wp14:anchorId="7A63D990" wp14:editId="639E6C5C">
                <wp:simplePos x="0" y="0"/>
                <wp:positionH relativeFrom="margin">
                  <wp:align>left</wp:align>
                </wp:positionH>
                <wp:positionV relativeFrom="paragraph">
                  <wp:posOffset>133350</wp:posOffset>
                </wp:positionV>
                <wp:extent cx="6457315" cy="899160"/>
                <wp:effectExtent l="0" t="0" r="19685" b="15240"/>
                <wp:wrapNone/>
                <wp:docPr id="526342377" name="Text Box 526342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899160"/>
                        </a:xfrm>
                        <a:prstGeom prst="rect">
                          <a:avLst/>
                        </a:prstGeom>
                        <a:solidFill>
                          <a:srgbClr val="FFFFFF"/>
                        </a:solidFill>
                        <a:ln w="9525">
                          <a:solidFill>
                            <a:sysClr val="window" lastClr="FFFFFF">
                              <a:lumMod val="100000"/>
                              <a:lumOff val="0"/>
                            </a:sysClr>
                          </a:solidFill>
                          <a:miter lim="800000"/>
                          <a:headEnd/>
                          <a:tailEnd/>
                        </a:ln>
                      </wps:spPr>
                      <wps:txbx>
                        <w:txbxContent>
                          <w:p w14:paraId="63C1F866" w14:textId="77777777" w:rsidR="00FF13B3" w:rsidRDefault="00FF13B3" w:rsidP="00FF13B3">
                            <w:pPr>
                              <w:spacing w:after="0"/>
                              <w:rPr>
                                <w:rFonts w:ascii="Arial" w:hAnsi="Arial" w:cs="Arial"/>
                                <w:b/>
                                <w:color w:val="005233"/>
                                <w:sz w:val="20"/>
                                <w:szCs w:val="20"/>
                              </w:rPr>
                            </w:pPr>
                            <w:r w:rsidRPr="00BA6B8C">
                              <w:rPr>
                                <w:rFonts w:ascii="Arial" w:hAnsi="Arial" w:cs="Arial"/>
                                <w:b/>
                                <w:color w:val="005233"/>
                                <w:sz w:val="20"/>
                                <w:szCs w:val="20"/>
                              </w:rPr>
                              <w:t>Daniela Zar,</w:t>
                            </w:r>
                          </w:p>
                          <w:p w14:paraId="23635FB0" w14:textId="77777777" w:rsidR="00FF13B3" w:rsidRDefault="00FF13B3" w:rsidP="00FF13B3">
                            <w:pPr>
                              <w:rPr>
                                <w:rFonts w:ascii="Arial" w:hAnsi="Arial" w:cs="Arial"/>
                                <w:sz w:val="20"/>
                                <w:szCs w:val="20"/>
                              </w:rPr>
                            </w:pPr>
                            <w:r w:rsidRPr="00BA6B8C">
                              <w:rPr>
                                <w:rFonts w:ascii="Arial" w:eastAsia="Times New Roman" w:hAnsi="Arial" w:cs="Arial"/>
                                <w:sz w:val="20"/>
                                <w:szCs w:val="20"/>
                                <w:lang w:eastAsia="de-AT"/>
                              </w:rPr>
                              <w:t xml:space="preserve">Tax Partner </w:t>
                            </w:r>
                            <w:r w:rsidRPr="00BA6B8C">
                              <w:rPr>
                                <w:rFonts w:ascii="Arial" w:eastAsia="Times New Roman" w:hAnsi="Arial" w:cs="Arial"/>
                                <w:sz w:val="20"/>
                                <w:szCs w:val="20"/>
                                <w:lang w:eastAsia="de-AT"/>
                              </w:rPr>
                              <w:tab/>
                            </w:r>
                            <w:r w:rsidRPr="00BA6B8C">
                              <w:rPr>
                                <w:rFonts w:ascii="Arial" w:hAnsi="Arial" w:cs="Arial"/>
                                <w:sz w:val="20"/>
                                <w:szCs w:val="20"/>
                              </w:rPr>
                              <w:t xml:space="preserve">                                               </w:t>
                            </w:r>
                          </w:p>
                          <w:p w14:paraId="365A955D" w14:textId="77777777" w:rsidR="00FF13B3" w:rsidRPr="0024559D" w:rsidRDefault="00FF13B3" w:rsidP="00FF13B3">
                            <w:pPr>
                              <w:rPr>
                                <w:rFonts w:ascii="Arial" w:hAnsi="Arial" w:cs="Arial"/>
                                <w:b/>
                                <w:color w:val="005233"/>
                                <w:sz w:val="20"/>
                                <w:szCs w:val="20"/>
                              </w:rPr>
                            </w:pPr>
                            <w:r w:rsidRPr="00BA6B8C">
                              <w:rPr>
                                <w:rFonts w:ascii="Arial" w:eastAsia="Times New Roman" w:hAnsi="Arial" w:cs="Arial"/>
                                <w:sz w:val="20"/>
                                <w:szCs w:val="20"/>
                                <w:lang w:eastAsia="de-AT"/>
                              </w:rPr>
                              <w:t>email:</w:t>
                            </w:r>
                            <w:r w:rsidRPr="00BA6B8C">
                              <w:rPr>
                                <w:rStyle w:val="Hyperlink"/>
                                <w:rFonts w:ascii="Arial" w:hAnsi="Arial" w:cs="Arial"/>
                                <w:sz w:val="20"/>
                                <w:szCs w:val="20"/>
                              </w:rPr>
                              <w:t xml:space="preserve"> daniela.zar@tpa-group.ro</w:t>
                            </w:r>
                          </w:p>
                          <w:p w14:paraId="4C20F3FD" w14:textId="77777777" w:rsidR="00FF13B3" w:rsidRPr="00BA6B8C" w:rsidRDefault="00FF13B3" w:rsidP="00FF13B3">
                            <w:pPr>
                              <w:spacing w:line="240" w:lineRule="auto"/>
                              <w:rPr>
                                <w:rFonts w:ascii="Arial" w:eastAsia="Times New Roman" w:hAnsi="Arial" w:cs="Arial"/>
                                <w:sz w:val="20"/>
                                <w:szCs w:val="20"/>
                                <w:lang w:eastAsia="de-AT"/>
                              </w:rPr>
                            </w:pP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t xml:space="preserve">      </w:t>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t xml:space="preserve">    </w:t>
                            </w:r>
                          </w:p>
                          <w:p w14:paraId="273D1DA2" w14:textId="77777777" w:rsidR="00FF13B3" w:rsidRPr="00BA6B8C" w:rsidRDefault="00FF13B3" w:rsidP="00FF13B3">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3D990" id="_x0000_t202" coordsize="21600,21600" o:spt="202" path="m,l,21600r21600,l21600,xe">
                <v:stroke joinstyle="miter"/>
                <v:path gradientshapeok="t" o:connecttype="rect"/>
              </v:shapetype>
              <v:shape id="Text Box 526342377" o:spid="_x0000_s1026" type="#_x0000_t202" style="position:absolute;margin-left:0;margin-top:10.5pt;width:508.45pt;height:70.8pt;z-index:2516602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" strokecolor="white">
                <v:textbox>
                  <w:txbxContent>
                    <w:p w14:paraId="63C1F866" w14:textId="77777777" w:rsidR="00FF13B3" w:rsidRDefault="00FF13B3" w:rsidP="00FF13B3">
                      <w:pPr>
                        <w:spacing w:after="0"/>
                        <w:rPr>
                          <w:rFonts w:ascii="Arial" w:hAnsi="Arial" w:cs="Arial"/>
                          <w:b/>
                          <w:color w:val="005233"/>
                          <w:sz w:val="20"/>
                          <w:szCs w:val="20"/>
                        </w:rPr>
                      </w:pPr>
                      <w:r w:rsidRPr="00BA6B8C">
                        <w:rPr>
                          <w:rFonts w:ascii="Arial" w:hAnsi="Arial" w:cs="Arial"/>
                          <w:b/>
                          <w:color w:val="005233"/>
                          <w:sz w:val="20"/>
                          <w:szCs w:val="20"/>
                        </w:rPr>
                        <w:t>Daniela Zar,</w:t>
                      </w:r>
                    </w:p>
                    <w:p w14:paraId="23635FB0" w14:textId="77777777" w:rsidR="00FF13B3" w:rsidRDefault="00FF13B3" w:rsidP="00FF13B3">
                      <w:pPr>
                        <w:rPr>
                          <w:rFonts w:ascii="Arial" w:hAnsi="Arial" w:cs="Arial"/>
                          <w:sz w:val="20"/>
                          <w:szCs w:val="20"/>
                        </w:rPr>
                      </w:pPr>
                      <w:r w:rsidRPr="00BA6B8C">
                        <w:rPr>
                          <w:rFonts w:ascii="Arial" w:eastAsia="Times New Roman" w:hAnsi="Arial" w:cs="Arial"/>
                          <w:sz w:val="20"/>
                          <w:szCs w:val="20"/>
                          <w:lang w:eastAsia="de-AT"/>
                        </w:rPr>
                        <w:t xml:space="preserve">Tax Partner </w:t>
                      </w:r>
                      <w:r w:rsidRPr="00BA6B8C">
                        <w:rPr>
                          <w:rFonts w:ascii="Arial" w:eastAsia="Times New Roman" w:hAnsi="Arial" w:cs="Arial"/>
                          <w:sz w:val="20"/>
                          <w:szCs w:val="20"/>
                          <w:lang w:eastAsia="de-AT"/>
                        </w:rPr>
                        <w:tab/>
                      </w:r>
                      <w:r w:rsidRPr="00BA6B8C">
                        <w:rPr>
                          <w:rFonts w:ascii="Arial" w:hAnsi="Arial" w:cs="Arial"/>
                          <w:sz w:val="20"/>
                          <w:szCs w:val="20"/>
                        </w:rPr>
                        <w:t xml:space="preserve">                                               </w:t>
                      </w:r>
                    </w:p>
                    <w:p w14:paraId="365A955D" w14:textId="77777777" w:rsidR="00FF13B3" w:rsidRPr="0024559D" w:rsidRDefault="00FF13B3" w:rsidP="00FF13B3">
                      <w:pPr>
                        <w:rPr>
                          <w:rFonts w:ascii="Arial" w:hAnsi="Arial" w:cs="Arial"/>
                          <w:b/>
                          <w:color w:val="005233"/>
                          <w:sz w:val="20"/>
                          <w:szCs w:val="20"/>
                        </w:rPr>
                      </w:pPr>
                      <w:r w:rsidRPr="00BA6B8C">
                        <w:rPr>
                          <w:rFonts w:ascii="Arial" w:eastAsia="Times New Roman" w:hAnsi="Arial" w:cs="Arial"/>
                          <w:sz w:val="20"/>
                          <w:szCs w:val="20"/>
                          <w:lang w:eastAsia="de-AT"/>
                        </w:rPr>
                        <w:t>email:</w:t>
                      </w:r>
                      <w:r w:rsidRPr="00BA6B8C">
                        <w:rPr>
                          <w:rStyle w:val="Hyperlink"/>
                          <w:rFonts w:ascii="Arial" w:hAnsi="Arial" w:cs="Arial"/>
                          <w:sz w:val="20"/>
                          <w:szCs w:val="20"/>
                        </w:rPr>
                        <w:t xml:space="preserve"> daniela.zar@tpa-group.ro</w:t>
                      </w:r>
                    </w:p>
                    <w:p w14:paraId="4C20F3FD" w14:textId="77777777" w:rsidR="00FF13B3" w:rsidRPr="00BA6B8C" w:rsidRDefault="00FF13B3" w:rsidP="00FF13B3">
                      <w:pPr>
                        <w:spacing w:line="240" w:lineRule="auto"/>
                        <w:rPr>
                          <w:rFonts w:ascii="Arial" w:eastAsia="Times New Roman" w:hAnsi="Arial" w:cs="Arial"/>
                          <w:sz w:val="20"/>
                          <w:szCs w:val="20"/>
                          <w:lang w:eastAsia="de-AT"/>
                        </w:rPr>
                      </w:pP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t xml:space="preserve">      </w:t>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r>
                      <w:r w:rsidRPr="00BA6B8C">
                        <w:rPr>
                          <w:rFonts w:ascii="Arial" w:eastAsia="Times New Roman" w:hAnsi="Arial" w:cs="Arial"/>
                          <w:sz w:val="20"/>
                          <w:szCs w:val="20"/>
                          <w:lang w:eastAsia="de-AT"/>
                        </w:rPr>
                        <w:tab/>
                        <w:t xml:space="preserve">    </w:t>
                      </w:r>
                    </w:p>
                    <w:p w14:paraId="273D1DA2" w14:textId="77777777" w:rsidR="00FF13B3" w:rsidRPr="00BA6B8C" w:rsidRDefault="00FF13B3" w:rsidP="00FF13B3">
                      <w:pPr>
                        <w:rPr>
                          <w:rFonts w:ascii="Arial" w:hAnsi="Arial" w:cs="Arial"/>
                          <w:sz w:val="20"/>
                          <w:szCs w:val="20"/>
                        </w:rPr>
                      </w:pPr>
                    </w:p>
                  </w:txbxContent>
                </v:textbox>
                <w10:wrap anchorx="margin"/>
              </v:shape>
            </w:pict>
          </mc:Fallback>
        </mc:AlternateContent>
      </w:r>
    </w:p>
    <w:p w14:paraId="53D81320" w14:textId="77777777" w:rsidR="00FF13B3" w:rsidRDefault="00FF13B3" w:rsidP="00FF13B3">
      <w:pPr>
        <w:widowControl w:val="0"/>
        <w:spacing w:before="200" w:after="0" w:line="276" w:lineRule="auto"/>
        <w:ind w:right="-1418"/>
        <w:contextualSpacing/>
        <w:rPr>
          <w:rFonts w:ascii="Arial" w:eastAsia="Calibri" w:hAnsi="Arial" w:cs="Arial"/>
          <w:kern w:val="0"/>
          <w:sz w:val="16"/>
          <w:szCs w:val="16"/>
          <w:lang w:val="ro-RO"/>
          <w14:ligatures w14:val="none"/>
        </w:rPr>
      </w:pPr>
    </w:p>
    <w:p w14:paraId="236285A6" w14:textId="77777777" w:rsidR="00FF13B3" w:rsidRDefault="00FF13B3" w:rsidP="00FF13B3">
      <w:pPr>
        <w:widowControl w:val="0"/>
        <w:spacing w:before="200" w:after="0" w:line="276" w:lineRule="auto"/>
        <w:ind w:right="-1418"/>
        <w:contextualSpacing/>
        <w:rPr>
          <w:rFonts w:ascii="Arial" w:eastAsia="Calibri" w:hAnsi="Arial" w:cs="Arial"/>
          <w:kern w:val="0"/>
          <w:sz w:val="16"/>
          <w:szCs w:val="16"/>
          <w:lang w:val="ro-RO"/>
          <w14:ligatures w14:val="none"/>
        </w:rPr>
      </w:pPr>
    </w:p>
    <w:p w14:paraId="15ADEEAD" w14:textId="77777777" w:rsidR="00FF13B3" w:rsidRDefault="00FF13B3" w:rsidP="00FF13B3">
      <w:pPr>
        <w:widowControl w:val="0"/>
        <w:spacing w:before="200" w:after="0" w:line="276" w:lineRule="auto"/>
        <w:ind w:right="-1418"/>
        <w:contextualSpacing/>
        <w:rPr>
          <w:rFonts w:ascii="Arial" w:eastAsia="Calibri" w:hAnsi="Arial" w:cs="Arial"/>
          <w:kern w:val="0"/>
          <w:sz w:val="16"/>
          <w:szCs w:val="16"/>
          <w:lang w:val="ro-RO"/>
          <w14:ligatures w14:val="none"/>
        </w:rPr>
      </w:pPr>
    </w:p>
    <w:p w14:paraId="4CAA0D42" w14:textId="77777777" w:rsidR="00FF13B3" w:rsidRDefault="00FF13B3" w:rsidP="00FF13B3">
      <w:pPr>
        <w:widowControl w:val="0"/>
        <w:spacing w:before="200" w:after="0" w:line="276" w:lineRule="auto"/>
        <w:ind w:right="-1418"/>
        <w:contextualSpacing/>
        <w:rPr>
          <w:rFonts w:ascii="Arial" w:eastAsia="Calibri" w:hAnsi="Arial" w:cs="Arial"/>
          <w:kern w:val="0"/>
          <w:sz w:val="16"/>
          <w:szCs w:val="16"/>
          <w:lang w:val="ro-RO"/>
          <w14:ligatures w14:val="none"/>
        </w:rPr>
      </w:pPr>
    </w:p>
    <w:p w14:paraId="32CB6F79" w14:textId="77777777" w:rsidR="00FF13B3" w:rsidRPr="00BA6B8C" w:rsidRDefault="00FF13B3" w:rsidP="00FF13B3">
      <w:pPr>
        <w:widowControl w:val="0"/>
        <w:spacing w:before="200" w:after="0" w:line="276" w:lineRule="auto"/>
        <w:ind w:right="-1418"/>
        <w:contextualSpacing/>
        <w:rPr>
          <w:rFonts w:ascii="Arial" w:eastAsia="Calibri" w:hAnsi="Arial" w:cs="Arial"/>
          <w:kern w:val="0"/>
          <w:sz w:val="16"/>
          <w:szCs w:val="16"/>
          <w:lang w:val="ro-RO"/>
          <w14:ligatures w14:val="none"/>
        </w:rPr>
      </w:pPr>
      <w:r w:rsidRPr="00BA6B8C">
        <w:rPr>
          <w:rFonts w:ascii="Arial" w:eastAsia="Calibri" w:hAnsi="Arial" w:cs="Arial"/>
          <w:b/>
          <w:bCs/>
          <w:noProof/>
          <w:kern w:val="0"/>
          <w:sz w:val="14"/>
          <w:szCs w:val="14"/>
          <w:lang w:val="ro-RO"/>
          <w14:ligatures w14:val="none"/>
        </w:rPr>
        <w:drawing>
          <wp:anchor distT="0" distB="0" distL="114300" distR="114300" simplePos="0" relativeHeight="251661314" behindDoc="0" locked="0" layoutInCell="1" allowOverlap="1" wp14:anchorId="4FAFF9C9" wp14:editId="2D0E713B">
            <wp:simplePos x="0" y="0"/>
            <wp:positionH relativeFrom="column">
              <wp:posOffset>135890</wp:posOffset>
            </wp:positionH>
            <wp:positionV relativeFrom="paragraph">
              <wp:posOffset>260985</wp:posOffset>
            </wp:positionV>
            <wp:extent cx="1584960" cy="1584960"/>
            <wp:effectExtent l="0" t="0" r="0" b="0"/>
            <wp:wrapTopAndBottom/>
            <wp:docPr id="621855486" name="Grafik 10" descr="A person with short dark hair smiling&#10;&#10;Description automatically generated">
              <a:extLst xmlns:a="http://schemas.openxmlformats.org/drawingml/2006/main">
                <a:ext uri="{FF2B5EF4-FFF2-40B4-BE49-F238E27FC236}">
                  <a16:creationId xmlns:a16="http://schemas.microsoft.com/office/drawing/2014/main" id="{74303AF8-E7F2-4ECF-A7D2-7F1A168B8D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0" descr="A person with short dark hair smiling&#10;&#10;Description automatically generated">
                      <a:extLst>
                        <a:ext uri="{FF2B5EF4-FFF2-40B4-BE49-F238E27FC236}">
                          <a16:creationId xmlns:a16="http://schemas.microsoft.com/office/drawing/2014/main" id="{B4455CE7-3E93-8B39-BAA1-6F6D6681A562}"/>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1584960" cy="1584960"/>
                    </a:xfrm>
                    <a:prstGeom prst="rect">
                      <a:avLst/>
                    </a:prstGeom>
                  </pic:spPr>
                </pic:pic>
              </a:graphicData>
            </a:graphic>
          </wp:anchor>
        </w:drawing>
      </w:r>
    </w:p>
    <w:p w14:paraId="41804E46" w14:textId="77777777" w:rsidR="00FF13B3" w:rsidRPr="00BA6B8C" w:rsidRDefault="00FF13B3" w:rsidP="00FF13B3">
      <w:pPr>
        <w:widowControl w:val="0"/>
        <w:spacing w:before="200" w:after="0" w:line="240" w:lineRule="auto"/>
        <w:ind w:right="-1"/>
        <w:contextualSpacing/>
        <w:jc w:val="both"/>
        <w:rPr>
          <w:rFonts w:ascii="Arial" w:eastAsia="Calibri" w:hAnsi="Arial" w:cs="Arial"/>
          <w:b/>
          <w:bCs/>
          <w:kern w:val="0"/>
          <w:sz w:val="14"/>
          <w:szCs w:val="14"/>
          <w:lang w:val="ro-RO"/>
          <w14:ligatures w14:val="none"/>
        </w:rPr>
      </w:pPr>
    </w:p>
    <w:p w14:paraId="72479AAF" w14:textId="77777777" w:rsidR="00FF13B3" w:rsidRPr="00BA6B8C" w:rsidRDefault="00FF13B3" w:rsidP="00FF13B3">
      <w:pPr>
        <w:widowControl w:val="0"/>
        <w:spacing w:before="200" w:after="0" w:line="240" w:lineRule="auto"/>
        <w:ind w:right="-1"/>
        <w:contextualSpacing/>
        <w:jc w:val="both"/>
        <w:rPr>
          <w:rFonts w:ascii="Arial" w:eastAsia="Calibri" w:hAnsi="Arial" w:cs="Arial"/>
          <w:b/>
          <w:bCs/>
          <w:kern w:val="0"/>
          <w:sz w:val="14"/>
          <w:szCs w:val="14"/>
          <w:lang w:val="ro-RO"/>
          <w14:ligatures w14:val="none"/>
        </w:rPr>
      </w:pPr>
    </w:p>
    <w:p w14:paraId="400621D0" w14:textId="77777777" w:rsidR="00FF13B3" w:rsidRPr="00F15E31" w:rsidRDefault="00FF13B3" w:rsidP="00FF13B3">
      <w:pPr>
        <w:widowControl w:val="0"/>
        <w:suppressAutoHyphens/>
        <w:spacing w:after="0" w:line="276" w:lineRule="auto"/>
        <w:contextualSpacing/>
        <w:jc w:val="both"/>
        <w:rPr>
          <w:rFonts w:ascii="Arial" w:eastAsia="Calibri" w:hAnsi="Arial" w:cs="Arial"/>
          <w:b/>
          <w:bCs/>
          <w:kern w:val="0"/>
          <w:sz w:val="14"/>
          <w:szCs w:val="14"/>
          <w:lang w:val="ro-RO"/>
          <w14:ligatures w14:val="none"/>
        </w:rPr>
      </w:pPr>
    </w:p>
    <w:p w14:paraId="464BF451" w14:textId="77777777" w:rsidR="00FF13B3" w:rsidRPr="00BA6B8C" w:rsidRDefault="00FF13B3" w:rsidP="00FF13B3">
      <w:pPr>
        <w:widowControl w:val="0"/>
        <w:spacing w:before="200" w:after="0" w:line="240" w:lineRule="auto"/>
        <w:ind w:right="-1"/>
        <w:contextualSpacing/>
        <w:jc w:val="both"/>
        <w:rPr>
          <w:rFonts w:ascii="Arial" w:eastAsia="Calibri" w:hAnsi="Arial" w:cs="Arial"/>
          <w:kern w:val="0"/>
          <w:sz w:val="14"/>
          <w:szCs w:val="14"/>
          <w:lang w:val="en-GB"/>
          <w14:ligatures w14:val="none"/>
        </w:rPr>
      </w:pPr>
      <w:r w:rsidRPr="00BA6B8C">
        <w:rPr>
          <w:rFonts w:ascii="Arial" w:eastAsia="Calibri" w:hAnsi="Arial" w:cs="Arial"/>
          <w:b/>
          <w:bCs/>
          <w:kern w:val="0"/>
          <w:sz w:val="14"/>
          <w:szCs w:val="14"/>
          <w:lang w:val="en-GB"/>
          <w14:ligatures w14:val="none"/>
        </w:rPr>
        <w:t xml:space="preserve">IMPRINT </w:t>
      </w:r>
      <w:r w:rsidRPr="00BA6B8C">
        <w:rPr>
          <w:rFonts w:ascii="Arial" w:eastAsia="Calibri" w:hAnsi="Arial" w:cs="Arial"/>
          <w:kern w:val="0"/>
          <w:sz w:val="14"/>
          <w:szCs w:val="14"/>
          <w:lang w:val="en-GB"/>
          <w14:ligatures w14:val="none"/>
        </w:rPr>
        <w:t>Information update</w:t>
      </w:r>
      <w:r>
        <w:rPr>
          <w:rFonts w:ascii="Arial" w:eastAsia="Calibri" w:hAnsi="Arial" w:cs="Arial"/>
          <w:kern w:val="0"/>
          <w:sz w:val="14"/>
          <w:szCs w:val="14"/>
          <w:lang w:val="en-GB"/>
          <w14:ligatures w14:val="none"/>
        </w:rPr>
        <w:t xml:space="preserve"> 10 July 2026</w:t>
      </w:r>
      <w:r w:rsidRPr="00BA6B8C">
        <w:rPr>
          <w:rFonts w:ascii="Arial" w:eastAsia="Calibri" w:hAnsi="Arial" w:cs="Arial"/>
          <w:kern w:val="0"/>
          <w:sz w:val="14"/>
          <w:szCs w:val="14"/>
          <w:lang w:val="en-GB"/>
          <w14:ligatures w14:val="none"/>
        </w:rPr>
        <w:t>. This information has been simplified and is not a substitute for individual advice. Responsibility for the content lies with</w:t>
      </w:r>
      <w:r>
        <w:rPr>
          <w:rFonts w:ascii="Arial" w:eastAsia="Calibri" w:hAnsi="Arial" w:cs="Arial"/>
          <w:kern w:val="0"/>
          <w:sz w:val="14"/>
          <w:szCs w:val="14"/>
          <w:lang w:val="en-GB"/>
          <w14:ligatures w14:val="none"/>
        </w:rPr>
        <w:t xml:space="preserve"> </w:t>
      </w:r>
      <w:r w:rsidRPr="00BA6B8C">
        <w:rPr>
          <w:rFonts w:ascii="Arial" w:eastAsia="Calibri" w:hAnsi="Arial" w:cs="Arial"/>
          <w:color w:val="0000FF"/>
          <w:kern w:val="0"/>
          <w:sz w:val="14"/>
          <w:szCs w:val="14"/>
          <w:u w:val="single"/>
          <w:lang w:val="ro-RO"/>
          <w14:ligatures w14:val="none"/>
        </w:rPr>
        <w:t xml:space="preserve">Daniela Zar, Tax Partner </w:t>
      </w:r>
      <w:r w:rsidRPr="00BA6B8C">
        <w:rPr>
          <w:rFonts w:ascii="Arial" w:eastAsia="Calibri" w:hAnsi="Arial" w:cs="Arial"/>
          <w:kern w:val="0"/>
          <w:sz w:val="14"/>
          <w:szCs w:val="14"/>
          <w:lang w:val="en-GB"/>
          <w14:ligatures w14:val="none"/>
        </w:rPr>
        <w:t xml:space="preserve">of TPA Romania, Blvd. Iancu de Hunedoara, 48, 011745 Bucharest, Romania. TPA Romania is an independent member of the Baker Tilly Europe Alliance. Tel: +40 21 3100669. Homepage: </w:t>
      </w:r>
      <w:hyperlink r:id="rId12" w:history="1">
        <w:r w:rsidRPr="00BA6B8C">
          <w:rPr>
            <w:rFonts w:ascii="Arial" w:eastAsia="Calibri" w:hAnsi="Arial" w:cs="Arial"/>
            <w:color w:val="0000FF"/>
            <w:kern w:val="0"/>
            <w:sz w:val="14"/>
            <w:szCs w:val="14"/>
            <w:u w:val="single"/>
            <w:lang w:val="en-GB"/>
            <w14:ligatures w14:val="none"/>
          </w:rPr>
          <w:t>www.tpa-group.ro</w:t>
        </w:r>
      </w:hyperlink>
      <w:r w:rsidRPr="00BA6B8C">
        <w:rPr>
          <w:rFonts w:ascii="Arial" w:eastAsia="Calibri" w:hAnsi="Arial" w:cs="Arial"/>
          <w:kern w:val="0"/>
          <w:sz w:val="14"/>
          <w:szCs w:val="14"/>
          <w:lang w:val="en-GB"/>
          <w14:ligatures w14:val="none"/>
        </w:rPr>
        <w:t>; Concept and design: TPA Romania</w:t>
      </w:r>
    </w:p>
    <w:p w14:paraId="6AE89367" w14:textId="77777777" w:rsidR="00FF13B3" w:rsidRPr="00BA6B8C" w:rsidRDefault="00FF13B3" w:rsidP="00FF13B3">
      <w:pPr>
        <w:widowControl w:val="0"/>
        <w:autoSpaceDE w:val="0"/>
        <w:autoSpaceDN w:val="0"/>
        <w:adjustRightInd w:val="0"/>
        <w:spacing w:after="0" w:line="240" w:lineRule="auto"/>
        <w:contextualSpacing/>
        <w:jc w:val="both"/>
        <w:rPr>
          <w:rFonts w:ascii="Arial" w:eastAsia="Calibri" w:hAnsi="Arial" w:cs="Arial"/>
          <w:b/>
          <w:kern w:val="0"/>
          <w:sz w:val="14"/>
          <w:szCs w:val="14"/>
          <w:lang w:val="en-GB"/>
          <w14:ligatures w14:val="none"/>
        </w:rPr>
      </w:pPr>
    </w:p>
    <w:p w14:paraId="776BB74C" w14:textId="77777777" w:rsidR="00FF13B3" w:rsidRPr="00BA6B8C" w:rsidRDefault="00FF13B3" w:rsidP="00FF13B3">
      <w:pPr>
        <w:widowControl w:val="0"/>
        <w:autoSpaceDE w:val="0"/>
        <w:autoSpaceDN w:val="0"/>
        <w:adjustRightInd w:val="0"/>
        <w:spacing w:after="0" w:line="240" w:lineRule="auto"/>
        <w:contextualSpacing/>
        <w:jc w:val="both"/>
        <w:rPr>
          <w:rFonts w:ascii="Arial" w:eastAsia="Calibri" w:hAnsi="Arial" w:cs="Arial"/>
          <w:bCs/>
          <w:kern w:val="0"/>
          <w:sz w:val="14"/>
          <w:szCs w:val="14"/>
          <w14:ligatures w14:val="none"/>
        </w:rPr>
      </w:pPr>
      <w:r w:rsidRPr="00BA6B8C">
        <w:rPr>
          <w:rFonts w:ascii="Arial" w:eastAsia="Calibri" w:hAnsi="Arial" w:cs="Arial"/>
          <w:b/>
          <w:kern w:val="0"/>
          <w:sz w:val="14"/>
          <w:szCs w:val="14"/>
          <w:lang w:val="en-GB"/>
          <w14:ligatures w14:val="none"/>
        </w:rPr>
        <w:t>Copyright @202</w:t>
      </w:r>
      <w:r>
        <w:rPr>
          <w:rFonts w:ascii="Arial" w:eastAsia="Calibri" w:hAnsi="Arial" w:cs="Arial"/>
          <w:b/>
          <w:kern w:val="0"/>
          <w:sz w:val="14"/>
          <w:szCs w:val="14"/>
          <w:lang w:val="en-GB"/>
          <w14:ligatures w14:val="none"/>
        </w:rPr>
        <w:t>6</w:t>
      </w:r>
      <w:r w:rsidRPr="00BA6B8C">
        <w:rPr>
          <w:rFonts w:ascii="Arial" w:eastAsia="Calibri" w:hAnsi="Arial" w:cs="Arial"/>
          <w:b/>
          <w:kern w:val="0"/>
          <w:sz w:val="14"/>
          <w:szCs w:val="14"/>
          <w:lang w:val="en-GB"/>
          <w14:ligatures w14:val="none"/>
        </w:rPr>
        <w:t xml:space="preserve"> TPA Romania, Blvd. Iancu de Hunedoara, nr. 48, 011745, Bucharest, Romania </w:t>
      </w:r>
    </w:p>
    <w:p w14:paraId="1AC7CEA6" w14:textId="2DB6CBA9" w:rsidR="005B339E" w:rsidRPr="00697347" w:rsidRDefault="005B339E" w:rsidP="00B22CFB">
      <w:pPr>
        <w:jc w:val="both"/>
        <w:rPr>
          <w:rFonts w:ascii="Arial" w:hAnsi="Arial" w:cs="Arial"/>
          <w:b/>
          <w:sz w:val="16"/>
          <w:szCs w:val="16"/>
          <w:lang w:val="ro-RO"/>
        </w:rPr>
      </w:pPr>
    </w:p>
    <w:sectPr w:rsidR="005B339E" w:rsidRPr="00697347" w:rsidSect="003977DB">
      <w:headerReference w:type="default" r:id="rId13"/>
      <w:footerReference w:type="default" r:id="rId14"/>
      <w:pgSz w:w="12240" w:h="15840"/>
      <w:pgMar w:top="1440" w:right="1440" w:bottom="144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CD4CA" w14:textId="77777777" w:rsidR="00290E0A" w:rsidRDefault="00290E0A" w:rsidP="00284D96">
      <w:pPr>
        <w:spacing w:after="0" w:line="240" w:lineRule="auto"/>
      </w:pPr>
      <w:r>
        <w:separator/>
      </w:r>
    </w:p>
  </w:endnote>
  <w:endnote w:type="continuationSeparator" w:id="0">
    <w:p w14:paraId="344E99FE" w14:textId="77777777" w:rsidR="00290E0A" w:rsidRDefault="00290E0A" w:rsidP="0028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Regular">
    <w:altName w:val="Malgun Gothic"/>
    <w:panose1 w:val="00000000000000000000"/>
    <w:charset w:val="81"/>
    <w:family w:val="auto"/>
    <w:notTrueType/>
    <w:pitch w:val="default"/>
    <w:sig w:usb0="00000000" w:usb1="09060000" w:usb2="00000010" w:usb3="00000000" w:csb0="00080000"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48A6" w14:textId="77777777" w:rsidR="008172B6" w:rsidRPr="008172B6" w:rsidRDefault="008172B6" w:rsidP="008172B6">
    <w:pPr>
      <w:widowControl w:val="0"/>
      <w:spacing w:before="200" w:after="0" w:line="280" w:lineRule="exact"/>
      <w:ind w:left="-1418" w:right="-1418"/>
      <w:contextualSpacing/>
      <w:jc w:val="center"/>
      <w:rPr>
        <w:rFonts w:ascii="Arial" w:eastAsia="Calibri" w:hAnsi="Arial" w:cs="Arial"/>
        <w:color w:val="58595B"/>
        <w:kern w:val="0"/>
        <w:sz w:val="18"/>
        <w:szCs w:val="18"/>
        <w:lang w:val="ro-RO"/>
        <w14:ligatures w14:val="none"/>
      </w:rPr>
    </w:pPr>
    <w:r w:rsidRPr="008172B6">
      <w:rPr>
        <w:rFonts w:ascii="Arial" w:eastAsia="Calibri" w:hAnsi="Arial" w:cs="Arial"/>
        <w:color w:val="58595B"/>
        <w:kern w:val="0"/>
        <w:sz w:val="18"/>
        <w:szCs w:val="18"/>
        <w:lang w:val="ro-RO"/>
        <w14:ligatures w14:val="none"/>
      </w:rPr>
      <w:t>Albania  |  Austria  |  Bulgaria  |  Croatia  |  Czech Republic  |  Hungary  |  Montenegro I Poland  |  Romania  |  Serbia  |  Slovakia  |  Slovenia</w:t>
    </w:r>
  </w:p>
  <w:p w14:paraId="226BE571" w14:textId="77777777" w:rsidR="008172B6" w:rsidRPr="008172B6" w:rsidRDefault="008172B6" w:rsidP="008172B6">
    <w:pPr>
      <w:widowControl w:val="0"/>
      <w:spacing w:before="200" w:after="0" w:line="280" w:lineRule="exact"/>
      <w:ind w:left="-1418" w:right="-1418"/>
      <w:contextualSpacing/>
      <w:jc w:val="center"/>
      <w:rPr>
        <w:rFonts w:ascii="Arial" w:eastAsia="Calibri" w:hAnsi="Arial" w:cs="Arial"/>
        <w:color w:val="58595B"/>
        <w:kern w:val="0"/>
        <w:sz w:val="18"/>
        <w:szCs w:val="18"/>
        <w:lang w:val="ro-RO"/>
        <w14:ligatures w14:val="none"/>
      </w:rPr>
    </w:pPr>
    <w:r w:rsidRPr="008172B6">
      <w:rPr>
        <w:rFonts w:ascii="Arial" w:eastAsia="Calibri" w:hAnsi="Arial" w:cs="Arial"/>
        <w:color w:val="58595B"/>
        <w:kern w:val="0"/>
        <w:sz w:val="18"/>
        <w:szCs w:val="18"/>
        <w:lang w:val="ro-RO"/>
        <w14:ligatures w14:val="none"/>
      </w:rPr>
      <w:t>An independent member of the Baker Tilly Europe Alliance</w:t>
    </w:r>
  </w:p>
  <w:p w14:paraId="5316E508" w14:textId="77777777" w:rsidR="008172B6" w:rsidRDefault="00817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1AA8" w14:textId="77777777" w:rsidR="00290E0A" w:rsidRDefault="00290E0A" w:rsidP="00284D96">
      <w:pPr>
        <w:spacing w:after="0" w:line="240" w:lineRule="auto"/>
      </w:pPr>
      <w:r>
        <w:separator/>
      </w:r>
    </w:p>
  </w:footnote>
  <w:footnote w:type="continuationSeparator" w:id="0">
    <w:p w14:paraId="1E1CA604" w14:textId="77777777" w:rsidR="00290E0A" w:rsidRDefault="00290E0A" w:rsidP="00284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7B4F" w14:textId="73E26741" w:rsidR="00284D96" w:rsidRDefault="00F80B69" w:rsidP="00F80B69">
    <w:pPr>
      <w:pStyle w:val="Header"/>
      <w:jc w:val="center"/>
    </w:pPr>
    <w:r>
      <w:rPr>
        <w:noProof/>
      </w:rPr>
      <w:drawing>
        <wp:inline distT="0" distB="0" distL="0" distR="0" wp14:anchorId="35B2BB40" wp14:editId="6E093FD3">
          <wp:extent cx="1225550" cy="902335"/>
          <wp:effectExtent l="0" t="0" r="0" b="0"/>
          <wp:docPr id="402698427" name="Picture 1">
            <a:extLst xmlns:a="http://schemas.openxmlformats.org/drawingml/2006/main">
              <a:ext uri="{FF2B5EF4-FFF2-40B4-BE49-F238E27FC236}">
                <a16:creationId xmlns:a16="http://schemas.microsoft.com/office/drawing/2014/main" id="{7135C09C-EA05-4CDB-8558-8116C821D4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550" cy="9023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9E"/>
    <w:multiLevelType w:val="hybridMultilevel"/>
    <w:tmpl w:val="87E628D4"/>
    <w:lvl w:ilvl="0" w:tplc="A2DC62C6">
      <w:start w:val="1"/>
      <w:numFmt w:val="decimal"/>
      <w:lvlText w:val="%1."/>
      <w:lvlJc w:val="left"/>
      <w:pPr>
        <w:ind w:left="720" w:hanging="720"/>
      </w:pPr>
      <w:rPr>
        <w:rFonts w:ascii="Arial" w:eastAsiaTheme="minorHAnsi" w:hAnsi="Arial" w:cs="Arial"/>
        <w:b/>
        <w:color w:val="00523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975256"/>
    <w:multiLevelType w:val="hybridMultilevel"/>
    <w:tmpl w:val="F24A85D2"/>
    <w:lvl w:ilvl="0" w:tplc="9BFC96B6">
      <w:numFmt w:val="bullet"/>
      <w:lvlText w:val="-"/>
      <w:lvlJc w:val="left"/>
      <w:pPr>
        <w:ind w:left="720" w:hanging="360"/>
      </w:pPr>
      <w:rPr>
        <w:rFonts w:ascii="Symbol" w:eastAsiaTheme="minorHAnsi"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95BA3"/>
    <w:multiLevelType w:val="hybridMultilevel"/>
    <w:tmpl w:val="FFFFFFFF"/>
    <w:lvl w:ilvl="0" w:tplc="EA541B7E">
      <w:start w:val="1"/>
      <w:numFmt w:val="bullet"/>
      <w:lvlText w:val=""/>
      <w:lvlJc w:val="left"/>
      <w:pPr>
        <w:ind w:left="720" w:hanging="360"/>
      </w:pPr>
      <w:rPr>
        <w:rFonts w:ascii="Symbol" w:hAnsi="Symbol" w:hint="default"/>
      </w:rPr>
    </w:lvl>
    <w:lvl w:ilvl="1" w:tplc="1B560FC2">
      <w:start w:val="1"/>
      <w:numFmt w:val="bullet"/>
      <w:lvlText w:val="o"/>
      <w:lvlJc w:val="left"/>
      <w:pPr>
        <w:ind w:left="1440" w:hanging="360"/>
      </w:pPr>
      <w:rPr>
        <w:rFonts w:ascii="Courier New" w:hAnsi="Courier New" w:hint="default"/>
      </w:rPr>
    </w:lvl>
    <w:lvl w:ilvl="2" w:tplc="EECA5FE8">
      <w:start w:val="1"/>
      <w:numFmt w:val="bullet"/>
      <w:lvlText w:val=""/>
      <w:lvlJc w:val="left"/>
      <w:pPr>
        <w:ind w:left="2160" w:hanging="360"/>
      </w:pPr>
      <w:rPr>
        <w:rFonts w:ascii="Wingdings" w:hAnsi="Wingdings" w:hint="default"/>
      </w:rPr>
    </w:lvl>
    <w:lvl w:ilvl="3" w:tplc="C886459C">
      <w:start w:val="1"/>
      <w:numFmt w:val="bullet"/>
      <w:lvlText w:val=""/>
      <w:lvlJc w:val="left"/>
      <w:pPr>
        <w:ind w:left="2880" w:hanging="360"/>
      </w:pPr>
      <w:rPr>
        <w:rFonts w:ascii="Symbol" w:hAnsi="Symbol" w:hint="default"/>
      </w:rPr>
    </w:lvl>
    <w:lvl w:ilvl="4" w:tplc="D7D6E1BE">
      <w:start w:val="1"/>
      <w:numFmt w:val="bullet"/>
      <w:lvlText w:val="o"/>
      <w:lvlJc w:val="left"/>
      <w:pPr>
        <w:ind w:left="3600" w:hanging="360"/>
      </w:pPr>
      <w:rPr>
        <w:rFonts w:ascii="Courier New" w:hAnsi="Courier New" w:hint="default"/>
      </w:rPr>
    </w:lvl>
    <w:lvl w:ilvl="5" w:tplc="ED625DB0">
      <w:start w:val="1"/>
      <w:numFmt w:val="bullet"/>
      <w:lvlText w:val=""/>
      <w:lvlJc w:val="left"/>
      <w:pPr>
        <w:ind w:left="4320" w:hanging="360"/>
      </w:pPr>
      <w:rPr>
        <w:rFonts w:ascii="Wingdings" w:hAnsi="Wingdings" w:hint="default"/>
      </w:rPr>
    </w:lvl>
    <w:lvl w:ilvl="6" w:tplc="A2D8B66E">
      <w:start w:val="1"/>
      <w:numFmt w:val="bullet"/>
      <w:lvlText w:val=""/>
      <w:lvlJc w:val="left"/>
      <w:pPr>
        <w:ind w:left="5040" w:hanging="360"/>
      </w:pPr>
      <w:rPr>
        <w:rFonts w:ascii="Symbol" w:hAnsi="Symbol" w:hint="default"/>
      </w:rPr>
    </w:lvl>
    <w:lvl w:ilvl="7" w:tplc="2324851E">
      <w:start w:val="1"/>
      <w:numFmt w:val="bullet"/>
      <w:lvlText w:val="o"/>
      <w:lvlJc w:val="left"/>
      <w:pPr>
        <w:ind w:left="5760" w:hanging="360"/>
      </w:pPr>
      <w:rPr>
        <w:rFonts w:ascii="Courier New" w:hAnsi="Courier New" w:hint="default"/>
      </w:rPr>
    </w:lvl>
    <w:lvl w:ilvl="8" w:tplc="5164DCFC">
      <w:start w:val="1"/>
      <w:numFmt w:val="bullet"/>
      <w:lvlText w:val=""/>
      <w:lvlJc w:val="left"/>
      <w:pPr>
        <w:ind w:left="6480" w:hanging="360"/>
      </w:pPr>
      <w:rPr>
        <w:rFonts w:ascii="Wingdings" w:hAnsi="Wingdings" w:hint="default"/>
      </w:rPr>
    </w:lvl>
  </w:abstractNum>
  <w:abstractNum w:abstractNumId="3" w15:restartNumberingAfterBreak="0">
    <w:nsid w:val="150F27CD"/>
    <w:multiLevelType w:val="hybridMultilevel"/>
    <w:tmpl w:val="5B4AA5F8"/>
    <w:lvl w:ilvl="0" w:tplc="3106F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3D67"/>
    <w:multiLevelType w:val="hybridMultilevel"/>
    <w:tmpl w:val="D65C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97733"/>
    <w:multiLevelType w:val="multilevel"/>
    <w:tmpl w:val="6DE0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17619A"/>
    <w:multiLevelType w:val="hybridMultilevel"/>
    <w:tmpl w:val="3F4A531A"/>
    <w:lvl w:ilvl="0" w:tplc="9BFC96B6">
      <w:numFmt w:val="bullet"/>
      <w:lvlText w:val="-"/>
      <w:lvlJc w:val="left"/>
      <w:pPr>
        <w:ind w:left="720" w:hanging="360"/>
      </w:pPr>
      <w:rPr>
        <w:rFonts w:ascii="Symbol" w:eastAsiaTheme="minorHAnsi"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3707E"/>
    <w:multiLevelType w:val="multilevel"/>
    <w:tmpl w:val="E0582B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ED71D1"/>
    <w:multiLevelType w:val="hybridMultilevel"/>
    <w:tmpl w:val="D9F2CE0C"/>
    <w:lvl w:ilvl="0" w:tplc="9BFC96B6">
      <w:numFmt w:val="bullet"/>
      <w:lvlText w:val="-"/>
      <w:lvlJc w:val="left"/>
      <w:pPr>
        <w:ind w:left="780" w:hanging="360"/>
      </w:pPr>
      <w:rPr>
        <w:rFonts w:ascii="Symbol" w:eastAsia="Calibri"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28642BF1"/>
    <w:multiLevelType w:val="hybridMultilevel"/>
    <w:tmpl w:val="09403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F66C8"/>
    <w:multiLevelType w:val="hybridMultilevel"/>
    <w:tmpl w:val="95488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045EA"/>
    <w:multiLevelType w:val="hybridMultilevel"/>
    <w:tmpl w:val="DE760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06600E"/>
    <w:multiLevelType w:val="hybridMultilevel"/>
    <w:tmpl w:val="CB088E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C5168C"/>
    <w:multiLevelType w:val="hybridMultilevel"/>
    <w:tmpl w:val="9BCE96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F3786C"/>
    <w:multiLevelType w:val="hybridMultilevel"/>
    <w:tmpl w:val="120486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9A01E0"/>
    <w:multiLevelType w:val="hybridMultilevel"/>
    <w:tmpl w:val="5880A9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72704AA"/>
    <w:multiLevelType w:val="hybridMultilevel"/>
    <w:tmpl w:val="3C8C5940"/>
    <w:lvl w:ilvl="0" w:tplc="9BFC96B6">
      <w:numFmt w:val="bullet"/>
      <w:lvlText w:val="-"/>
      <w:lvlJc w:val="left"/>
      <w:pPr>
        <w:ind w:left="720" w:hanging="360"/>
      </w:pPr>
      <w:rPr>
        <w:rFonts w:ascii="Symbol" w:eastAsiaTheme="minorHAnsi"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86BA2"/>
    <w:multiLevelType w:val="hybridMultilevel"/>
    <w:tmpl w:val="FDB0DCEC"/>
    <w:lvl w:ilvl="0" w:tplc="9BFC96B6">
      <w:numFmt w:val="bullet"/>
      <w:lvlText w:val="-"/>
      <w:lvlJc w:val="left"/>
      <w:pPr>
        <w:ind w:left="1080" w:hanging="360"/>
      </w:pPr>
      <w:rPr>
        <w:rFonts w:ascii="Symbol" w:eastAsiaTheme="minorHAnsi"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DE16B1"/>
    <w:multiLevelType w:val="hybridMultilevel"/>
    <w:tmpl w:val="B666D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CCF235D"/>
    <w:multiLevelType w:val="multilevel"/>
    <w:tmpl w:val="5BCE7312"/>
    <w:lvl w:ilvl="0">
      <w:start w:val="1"/>
      <w:numFmt w:val="decimal"/>
      <w:lvlText w:val="%1."/>
      <w:lvlJc w:val="left"/>
      <w:pPr>
        <w:tabs>
          <w:tab w:val="num" w:pos="0"/>
        </w:tabs>
        <w:ind w:left="360" w:hanging="360"/>
      </w:pPr>
      <w:rPr>
        <w:b/>
        <w:bCs/>
        <w:color w:val="124F1A" w:themeColor="accent3" w:themeShade="BF"/>
        <w:sz w:val="20"/>
        <w:szCs w:val="20"/>
      </w:rPr>
    </w:lvl>
    <w:lvl w:ilvl="1">
      <w:start w:val="1"/>
      <w:numFmt w:val="lowerLetter"/>
      <w:lvlText w:val="%2."/>
      <w:lvlJc w:val="left"/>
      <w:pPr>
        <w:tabs>
          <w:tab w:val="num" w:pos="0"/>
        </w:tabs>
        <w:ind w:left="1080" w:hanging="360"/>
      </w:pPr>
      <w:rPr>
        <w:b/>
        <w:bCs/>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3CD32ECA"/>
    <w:multiLevelType w:val="hybridMultilevel"/>
    <w:tmpl w:val="66AEB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2C0F96"/>
    <w:multiLevelType w:val="multilevel"/>
    <w:tmpl w:val="3278AA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B53F94"/>
    <w:multiLevelType w:val="hybridMultilevel"/>
    <w:tmpl w:val="2FC4B80E"/>
    <w:lvl w:ilvl="0" w:tplc="9BFC96B6">
      <w:numFmt w:val="bullet"/>
      <w:lvlText w:val="-"/>
      <w:lvlJc w:val="left"/>
      <w:pPr>
        <w:ind w:left="360" w:hanging="360"/>
      </w:pPr>
      <w:rPr>
        <w:rFonts w:ascii="Symbol" w:eastAsia="Calibri"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0D9AB4C"/>
    <w:multiLevelType w:val="hybridMultilevel"/>
    <w:tmpl w:val="EBBC3FFE"/>
    <w:lvl w:ilvl="0" w:tplc="5CE660B0">
      <w:start w:val="1"/>
      <w:numFmt w:val="bullet"/>
      <w:lvlText w:val=""/>
      <w:lvlJc w:val="left"/>
      <w:pPr>
        <w:ind w:left="360" w:hanging="360"/>
      </w:pPr>
      <w:rPr>
        <w:rFonts w:ascii="Symbol" w:hAnsi="Symbol" w:hint="default"/>
      </w:rPr>
    </w:lvl>
    <w:lvl w:ilvl="1" w:tplc="C890EF9A">
      <w:start w:val="1"/>
      <w:numFmt w:val="bullet"/>
      <w:lvlText w:val="o"/>
      <w:lvlJc w:val="left"/>
      <w:pPr>
        <w:ind w:left="1080" w:hanging="360"/>
      </w:pPr>
      <w:rPr>
        <w:rFonts w:ascii="Courier New" w:hAnsi="Courier New" w:hint="default"/>
      </w:rPr>
    </w:lvl>
    <w:lvl w:ilvl="2" w:tplc="AB963D7A">
      <w:start w:val="1"/>
      <w:numFmt w:val="bullet"/>
      <w:lvlText w:val=""/>
      <w:lvlJc w:val="left"/>
      <w:pPr>
        <w:ind w:left="1800" w:hanging="360"/>
      </w:pPr>
      <w:rPr>
        <w:rFonts w:ascii="Wingdings" w:hAnsi="Wingdings" w:hint="default"/>
      </w:rPr>
    </w:lvl>
    <w:lvl w:ilvl="3" w:tplc="E9248DAE">
      <w:start w:val="1"/>
      <w:numFmt w:val="bullet"/>
      <w:lvlText w:val=""/>
      <w:lvlJc w:val="left"/>
      <w:pPr>
        <w:ind w:left="2520" w:hanging="360"/>
      </w:pPr>
      <w:rPr>
        <w:rFonts w:ascii="Symbol" w:hAnsi="Symbol" w:hint="default"/>
      </w:rPr>
    </w:lvl>
    <w:lvl w:ilvl="4" w:tplc="EF62082E">
      <w:start w:val="1"/>
      <w:numFmt w:val="bullet"/>
      <w:lvlText w:val="o"/>
      <w:lvlJc w:val="left"/>
      <w:pPr>
        <w:ind w:left="3240" w:hanging="360"/>
      </w:pPr>
      <w:rPr>
        <w:rFonts w:ascii="Courier New" w:hAnsi="Courier New" w:hint="default"/>
      </w:rPr>
    </w:lvl>
    <w:lvl w:ilvl="5" w:tplc="25AC7958">
      <w:start w:val="1"/>
      <w:numFmt w:val="bullet"/>
      <w:lvlText w:val=""/>
      <w:lvlJc w:val="left"/>
      <w:pPr>
        <w:ind w:left="3960" w:hanging="360"/>
      </w:pPr>
      <w:rPr>
        <w:rFonts w:ascii="Wingdings" w:hAnsi="Wingdings" w:hint="default"/>
      </w:rPr>
    </w:lvl>
    <w:lvl w:ilvl="6" w:tplc="A480427A">
      <w:start w:val="1"/>
      <w:numFmt w:val="bullet"/>
      <w:lvlText w:val=""/>
      <w:lvlJc w:val="left"/>
      <w:pPr>
        <w:ind w:left="4680" w:hanging="360"/>
      </w:pPr>
      <w:rPr>
        <w:rFonts w:ascii="Symbol" w:hAnsi="Symbol" w:hint="default"/>
      </w:rPr>
    </w:lvl>
    <w:lvl w:ilvl="7" w:tplc="CA941C66">
      <w:start w:val="1"/>
      <w:numFmt w:val="bullet"/>
      <w:lvlText w:val="o"/>
      <w:lvlJc w:val="left"/>
      <w:pPr>
        <w:ind w:left="5400" w:hanging="360"/>
      </w:pPr>
      <w:rPr>
        <w:rFonts w:ascii="Courier New" w:hAnsi="Courier New" w:hint="default"/>
      </w:rPr>
    </w:lvl>
    <w:lvl w:ilvl="8" w:tplc="D924E954">
      <w:start w:val="1"/>
      <w:numFmt w:val="bullet"/>
      <w:lvlText w:val=""/>
      <w:lvlJc w:val="left"/>
      <w:pPr>
        <w:ind w:left="6120" w:hanging="360"/>
      </w:pPr>
      <w:rPr>
        <w:rFonts w:ascii="Wingdings" w:hAnsi="Wingdings" w:hint="default"/>
      </w:rPr>
    </w:lvl>
  </w:abstractNum>
  <w:abstractNum w:abstractNumId="24" w15:restartNumberingAfterBreak="0">
    <w:nsid w:val="4355571C"/>
    <w:multiLevelType w:val="hybridMultilevel"/>
    <w:tmpl w:val="44AAA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7B026B"/>
    <w:multiLevelType w:val="hybridMultilevel"/>
    <w:tmpl w:val="1E5029AE"/>
    <w:lvl w:ilvl="0" w:tplc="842CF60A">
      <w:start w:val="1"/>
      <w:numFmt w:val="bullet"/>
      <w:lvlText w:val="·"/>
      <w:lvlJc w:val="left"/>
      <w:pPr>
        <w:ind w:left="720" w:hanging="360"/>
      </w:pPr>
      <w:rPr>
        <w:rFonts w:ascii="Symbol" w:hAnsi="Symbol" w:hint="default"/>
      </w:rPr>
    </w:lvl>
    <w:lvl w:ilvl="1" w:tplc="6A76CA28">
      <w:start w:val="1"/>
      <w:numFmt w:val="bullet"/>
      <w:lvlText w:val="o"/>
      <w:lvlJc w:val="left"/>
      <w:pPr>
        <w:ind w:left="1440" w:hanging="360"/>
      </w:pPr>
      <w:rPr>
        <w:rFonts w:ascii="Courier New" w:hAnsi="Courier New" w:hint="default"/>
      </w:rPr>
    </w:lvl>
    <w:lvl w:ilvl="2" w:tplc="F53A47F0">
      <w:start w:val="1"/>
      <w:numFmt w:val="bullet"/>
      <w:lvlText w:val=""/>
      <w:lvlJc w:val="left"/>
      <w:pPr>
        <w:ind w:left="2160" w:hanging="360"/>
      </w:pPr>
      <w:rPr>
        <w:rFonts w:ascii="Wingdings" w:hAnsi="Wingdings" w:hint="default"/>
      </w:rPr>
    </w:lvl>
    <w:lvl w:ilvl="3" w:tplc="30769616">
      <w:start w:val="1"/>
      <w:numFmt w:val="bullet"/>
      <w:lvlText w:val=""/>
      <w:lvlJc w:val="left"/>
      <w:pPr>
        <w:ind w:left="2880" w:hanging="360"/>
      </w:pPr>
      <w:rPr>
        <w:rFonts w:ascii="Symbol" w:hAnsi="Symbol" w:hint="default"/>
      </w:rPr>
    </w:lvl>
    <w:lvl w:ilvl="4" w:tplc="7286EDC0">
      <w:start w:val="1"/>
      <w:numFmt w:val="bullet"/>
      <w:lvlText w:val="o"/>
      <w:lvlJc w:val="left"/>
      <w:pPr>
        <w:ind w:left="3600" w:hanging="360"/>
      </w:pPr>
      <w:rPr>
        <w:rFonts w:ascii="Courier New" w:hAnsi="Courier New" w:hint="default"/>
      </w:rPr>
    </w:lvl>
    <w:lvl w:ilvl="5" w:tplc="959055A0">
      <w:start w:val="1"/>
      <w:numFmt w:val="bullet"/>
      <w:lvlText w:val=""/>
      <w:lvlJc w:val="left"/>
      <w:pPr>
        <w:ind w:left="4320" w:hanging="360"/>
      </w:pPr>
      <w:rPr>
        <w:rFonts w:ascii="Wingdings" w:hAnsi="Wingdings" w:hint="default"/>
      </w:rPr>
    </w:lvl>
    <w:lvl w:ilvl="6" w:tplc="6D5CDC54">
      <w:start w:val="1"/>
      <w:numFmt w:val="bullet"/>
      <w:lvlText w:val=""/>
      <w:lvlJc w:val="left"/>
      <w:pPr>
        <w:ind w:left="5040" w:hanging="360"/>
      </w:pPr>
      <w:rPr>
        <w:rFonts w:ascii="Symbol" w:hAnsi="Symbol" w:hint="default"/>
      </w:rPr>
    </w:lvl>
    <w:lvl w:ilvl="7" w:tplc="1C541BA2">
      <w:start w:val="1"/>
      <w:numFmt w:val="bullet"/>
      <w:lvlText w:val="o"/>
      <w:lvlJc w:val="left"/>
      <w:pPr>
        <w:ind w:left="5760" w:hanging="360"/>
      </w:pPr>
      <w:rPr>
        <w:rFonts w:ascii="Courier New" w:hAnsi="Courier New" w:hint="default"/>
      </w:rPr>
    </w:lvl>
    <w:lvl w:ilvl="8" w:tplc="77DE12E0">
      <w:start w:val="1"/>
      <w:numFmt w:val="bullet"/>
      <w:lvlText w:val=""/>
      <w:lvlJc w:val="left"/>
      <w:pPr>
        <w:ind w:left="6480" w:hanging="360"/>
      </w:pPr>
      <w:rPr>
        <w:rFonts w:ascii="Wingdings" w:hAnsi="Wingdings" w:hint="default"/>
      </w:rPr>
    </w:lvl>
  </w:abstractNum>
  <w:abstractNum w:abstractNumId="26" w15:restartNumberingAfterBreak="0">
    <w:nsid w:val="4A2D7411"/>
    <w:multiLevelType w:val="multilevel"/>
    <w:tmpl w:val="CCA20F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F25979"/>
    <w:multiLevelType w:val="multilevel"/>
    <w:tmpl w:val="97D2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9E2B78"/>
    <w:multiLevelType w:val="hybridMultilevel"/>
    <w:tmpl w:val="EDE2A9FE"/>
    <w:lvl w:ilvl="0" w:tplc="1310A600">
      <w:start w:val="1"/>
      <w:numFmt w:val="bullet"/>
      <w:lvlText w:val="-"/>
      <w:lvlJc w:val="left"/>
      <w:pPr>
        <w:ind w:left="720" w:hanging="360"/>
      </w:pPr>
      <w:rPr>
        <w:rFonts w:ascii="Symbol" w:hAnsi="Symbol" w:hint="default"/>
      </w:rPr>
    </w:lvl>
    <w:lvl w:ilvl="1" w:tplc="F08CC8C6">
      <w:start w:val="1"/>
      <w:numFmt w:val="bullet"/>
      <w:lvlText w:val="o"/>
      <w:lvlJc w:val="left"/>
      <w:pPr>
        <w:ind w:left="1440" w:hanging="360"/>
      </w:pPr>
      <w:rPr>
        <w:rFonts w:ascii="Courier New" w:hAnsi="Courier New" w:hint="default"/>
      </w:rPr>
    </w:lvl>
    <w:lvl w:ilvl="2" w:tplc="FC109312">
      <w:start w:val="1"/>
      <w:numFmt w:val="bullet"/>
      <w:lvlText w:val=""/>
      <w:lvlJc w:val="left"/>
      <w:pPr>
        <w:ind w:left="2160" w:hanging="360"/>
      </w:pPr>
      <w:rPr>
        <w:rFonts w:ascii="Wingdings" w:hAnsi="Wingdings" w:hint="default"/>
      </w:rPr>
    </w:lvl>
    <w:lvl w:ilvl="3" w:tplc="A2146638">
      <w:start w:val="1"/>
      <w:numFmt w:val="bullet"/>
      <w:lvlText w:val=""/>
      <w:lvlJc w:val="left"/>
      <w:pPr>
        <w:ind w:left="2880" w:hanging="360"/>
      </w:pPr>
      <w:rPr>
        <w:rFonts w:ascii="Symbol" w:hAnsi="Symbol" w:hint="default"/>
      </w:rPr>
    </w:lvl>
    <w:lvl w:ilvl="4" w:tplc="F1D070E2">
      <w:start w:val="1"/>
      <w:numFmt w:val="bullet"/>
      <w:lvlText w:val="o"/>
      <w:lvlJc w:val="left"/>
      <w:pPr>
        <w:ind w:left="3600" w:hanging="360"/>
      </w:pPr>
      <w:rPr>
        <w:rFonts w:ascii="Courier New" w:hAnsi="Courier New" w:hint="default"/>
      </w:rPr>
    </w:lvl>
    <w:lvl w:ilvl="5" w:tplc="F31CFF42">
      <w:start w:val="1"/>
      <w:numFmt w:val="bullet"/>
      <w:lvlText w:val=""/>
      <w:lvlJc w:val="left"/>
      <w:pPr>
        <w:ind w:left="4320" w:hanging="360"/>
      </w:pPr>
      <w:rPr>
        <w:rFonts w:ascii="Wingdings" w:hAnsi="Wingdings" w:hint="default"/>
      </w:rPr>
    </w:lvl>
    <w:lvl w:ilvl="6" w:tplc="2B5E12F0">
      <w:start w:val="1"/>
      <w:numFmt w:val="bullet"/>
      <w:lvlText w:val=""/>
      <w:lvlJc w:val="left"/>
      <w:pPr>
        <w:ind w:left="5040" w:hanging="360"/>
      </w:pPr>
      <w:rPr>
        <w:rFonts w:ascii="Symbol" w:hAnsi="Symbol" w:hint="default"/>
      </w:rPr>
    </w:lvl>
    <w:lvl w:ilvl="7" w:tplc="F8102E9E">
      <w:start w:val="1"/>
      <w:numFmt w:val="bullet"/>
      <w:lvlText w:val="o"/>
      <w:lvlJc w:val="left"/>
      <w:pPr>
        <w:ind w:left="5760" w:hanging="360"/>
      </w:pPr>
      <w:rPr>
        <w:rFonts w:ascii="Courier New" w:hAnsi="Courier New" w:hint="default"/>
      </w:rPr>
    </w:lvl>
    <w:lvl w:ilvl="8" w:tplc="D3109634">
      <w:start w:val="1"/>
      <w:numFmt w:val="bullet"/>
      <w:lvlText w:val=""/>
      <w:lvlJc w:val="left"/>
      <w:pPr>
        <w:ind w:left="6480" w:hanging="360"/>
      </w:pPr>
      <w:rPr>
        <w:rFonts w:ascii="Wingdings" w:hAnsi="Wingdings" w:hint="default"/>
      </w:rPr>
    </w:lvl>
  </w:abstractNum>
  <w:abstractNum w:abstractNumId="29" w15:restartNumberingAfterBreak="0">
    <w:nsid w:val="5C74B00A"/>
    <w:multiLevelType w:val="hybridMultilevel"/>
    <w:tmpl w:val="E8F0CF38"/>
    <w:lvl w:ilvl="0" w:tplc="2DC8C25C">
      <w:start w:val="1"/>
      <w:numFmt w:val="bullet"/>
      <w:lvlText w:val="-"/>
      <w:lvlJc w:val="left"/>
      <w:pPr>
        <w:ind w:left="720" w:hanging="360"/>
      </w:pPr>
      <w:rPr>
        <w:rFonts w:ascii="Symbol" w:hAnsi="Symbol" w:hint="default"/>
      </w:rPr>
    </w:lvl>
    <w:lvl w:ilvl="1" w:tplc="B69CFB8E">
      <w:start w:val="1"/>
      <w:numFmt w:val="bullet"/>
      <w:lvlText w:val="o"/>
      <w:lvlJc w:val="left"/>
      <w:pPr>
        <w:ind w:left="1440" w:hanging="360"/>
      </w:pPr>
      <w:rPr>
        <w:rFonts w:ascii="Courier New" w:hAnsi="Courier New" w:hint="default"/>
      </w:rPr>
    </w:lvl>
    <w:lvl w:ilvl="2" w:tplc="434AE3D6">
      <w:start w:val="1"/>
      <w:numFmt w:val="bullet"/>
      <w:lvlText w:val=""/>
      <w:lvlJc w:val="left"/>
      <w:pPr>
        <w:ind w:left="2160" w:hanging="360"/>
      </w:pPr>
      <w:rPr>
        <w:rFonts w:ascii="Wingdings" w:hAnsi="Wingdings" w:hint="default"/>
      </w:rPr>
    </w:lvl>
    <w:lvl w:ilvl="3" w:tplc="2B6639DC">
      <w:start w:val="1"/>
      <w:numFmt w:val="bullet"/>
      <w:lvlText w:val=""/>
      <w:lvlJc w:val="left"/>
      <w:pPr>
        <w:ind w:left="2880" w:hanging="360"/>
      </w:pPr>
      <w:rPr>
        <w:rFonts w:ascii="Symbol" w:hAnsi="Symbol" w:hint="default"/>
      </w:rPr>
    </w:lvl>
    <w:lvl w:ilvl="4" w:tplc="15A24B98">
      <w:start w:val="1"/>
      <w:numFmt w:val="bullet"/>
      <w:lvlText w:val="o"/>
      <w:lvlJc w:val="left"/>
      <w:pPr>
        <w:ind w:left="3600" w:hanging="360"/>
      </w:pPr>
      <w:rPr>
        <w:rFonts w:ascii="Courier New" w:hAnsi="Courier New" w:hint="default"/>
      </w:rPr>
    </w:lvl>
    <w:lvl w:ilvl="5" w:tplc="730C3256">
      <w:start w:val="1"/>
      <w:numFmt w:val="bullet"/>
      <w:lvlText w:val=""/>
      <w:lvlJc w:val="left"/>
      <w:pPr>
        <w:ind w:left="4320" w:hanging="360"/>
      </w:pPr>
      <w:rPr>
        <w:rFonts w:ascii="Wingdings" w:hAnsi="Wingdings" w:hint="default"/>
      </w:rPr>
    </w:lvl>
    <w:lvl w:ilvl="6" w:tplc="6C1CEBF8">
      <w:start w:val="1"/>
      <w:numFmt w:val="bullet"/>
      <w:lvlText w:val=""/>
      <w:lvlJc w:val="left"/>
      <w:pPr>
        <w:ind w:left="5040" w:hanging="360"/>
      </w:pPr>
      <w:rPr>
        <w:rFonts w:ascii="Symbol" w:hAnsi="Symbol" w:hint="default"/>
      </w:rPr>
    </w:lvl>
    <w:lvl w:ilvl="7" w:tplc="292CDAF6">
      <w:start w:val="1"/>
      <w:numFmt w:val="bullet"/>
      <w:lvlText w:val="o"/>
      <w:lvlJc w:val="left"/>
      <w:pPr>
        <w:ind w:left="5760" w:hanging="360"/>
      </w:pPr>
      <w:rPr>
        <w:rFonts w:ascii="Courier New" w:hAnsi="Courier New" w:hint="default"/>
      </w:rPr>
    </w:lvl>
    <w:lvl w:ilvl="8" w:tplc="8F7288D2">
      <w:start w:val="1"/>
      <w:numFmt w:val="bullet"/>
      <w:lvlText w:val=""/>
      <w:lvlJc w:val="left"/>
      <w:pPr>
        <w:ind w:left="6480" w:hanging="360"/>
      </w:pPr>
      <w:rPr>
        <w:rFonts w:ascii="Wingdings" w:hAnsi="Wingdings" w:hint="default"/>
      </w:rPr>
    </w:lvl>
  </w:abstractNum>
  <w:abstractNum w:abstractNumId="30" w15:restartNumberingAfterBreak="0">
    <w:nsid w:val="5F90547F"/>
    <w:multiLevelType w:val="hybridMultilevel"/>
    <w:tmpl w:val="9BC67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1E847A8"/>
    <w:multiLevelType w:val="multilevel"/>
    <w:tmpl w:val="617E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511376"/>
    <w:multiLevelType w:val="multilevel"/>
    <w:tmpl w:val="A1C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C9006D"/>
    <w:multiLevelType w:val="hybridMultilevel"/>
    <w:tmpl w:val="F286BEBE"/>
    <w:lvl w:ilvl="0" w:tplc="9BFC96B6">
      <w:numFmt w:val="bullet"/>
      <w:lvlText w:val="-"/>
      <w:lvlJc w:val="left"/>
      <w:pPr>
        <w:ind w:left="720" w:hanging="360"/>
      </w:pPr>
      <w:rPr>
        <w:rFonts w:ascii="Symbol" w:eastAsiaTheme="minorHAnsi"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206F9A"/>
    <w:multiLevelType w:val="hybridMultilevel"/>
    <w:tmpl w:val="3418EC3E"/>
    <w:lvl w:ilvl="0" w:tplc="BE5A18FE">
      <w:start w:val="1"/>
      <w:numFmt w:val="bullet"/>
      <w:lvlText w:val="·"/>
      <w:lvlJc w:val="left"/>
      <w:pPr>
        <w:ind w:left="720" w:hanging="360"/>
      </w:pPr>
      <w:rPr>
        <w:rFonts w:ascii="Symbol" w:hAnsi="Symbol" w:hint="default"/>
      </w:rPr>
    </w:lvl>
    <w:lvl w:ilvl="1" w:tplc="4EB02F3A">
      <w:start w:val="1"/>
      <w:numFmt w:val="bullet"/>
      <w:lvlText w:val="o"/>
      <w:lvlJc w:val="left"/>
      <w:pPr>
        <w:ind w:left="1440" w:hanging="360"/>
      </w:pPr>
      <w:rPr>
        <w:rFonts w:ascii="Courier New" w:hAnsi="Courier New" w:hint="default"/>
      </w:rPr>
    </w:lvl>
    <w:lvl w:ilvl="2" w:tplc="334A0EEC">
      <w:start w:val="1"/>
      <w:numFmt w:val="bullet"/>
      <w:lvlText w:val=""/>
      <w:lvlJc w:val="left"/>
      <w:pPr>
        <w:ind w:left="2160" w:hanging="360"/>
      </w:pPr>
      <w:rPr>
        <w:rFonts w:ascii="Wingdings" w:hAnsi="Wingdings" w:hint="default"/>
      </w:rPr>
    </w:lvl>
    <w:lvl w:ilvl="3" w:tplc="B6207A12">
      <w:start w:val="1"/>
      <w:numFmt w:val="bullet"/>
      <w:lvlText w:val=""/>
      <w:lvlJc w:val="left"/>
      <w:pPr>
        <w:ind w:left="2880" w:hanging="360"/>
      </w:pPr>
      <w:rPr>
        <w:rFonts w:ascii="Symbol" w:hAnsi="Symbol" w:hint="default"/>
      </w:rPr>
    </w:lvl>
    <w:lvl w:ilvl="4" w:tplc="84A8A6C2">
      <w:start w:val="1"/>
      <w:numFmt w:val="bullet"/>
      <w:lvlText w:val="o"/>
      <w:lvlJc w:val="left"/>
      <w:pPr>
        <w:ind w:left="3600" w:hanging="360"/>
      </w:pPr>
      <w:rPr>
        <w:rFonts w:ascii="Courier New" w:hAnsi="Courier New" w:hint="default"/>
      </w:rPr>
    </w:lvl>
    <w:lvl w:ilvl="5" w:tplc="D916A586">
      <w:start w:val="1"/>
      <w:numFmt w:val="bullet"/>
      <w:lvlText w:val=""/>
      <w:lvlJc w:val="left"/>
      <w:pPr>
        <w:ind w:left="4320" w:hanging="360"/>
      </w:pPr>
      <w:rPr>
        <w:rFonts w:ascii="Wingdings" w:hAnsi="Wingdings" w:hint="default"/>
      </w:rPr>
    </w:lvl>
    <w:lvl w:ilvl="6" w:tplc="A174667A">
      <w:start w:val="1"/>
      <w:numFmt w:val="bullet"/>
      <w:lvlText w:val=""/>
      <w:lvlJc w:val="left"/>
      <w:pPr>
        <w:ind w:left="5040" w:hanging="360"/>
      </w:pPr>
      <w:rPr>
        <w:rFonts w:ascii="Symbol" w:hAnsi="Symbol" w:hint="default"/>
      </w:rPr>
    </w:lvl>
    <w:lvl w:ilvl="7" w:tplc="E71E29F4">
      <w:start w:val="1"/>
      <w:numFmt w:val="bullet"/>
      <w:lvlText w:val="o"/>
      <w:lvlJc w:val="left"/>
      <w:pPr>
        <w:ind w:left="5760" w:hanging="360"/>
      </w:pPr>
      <w:rPr>
        <w:rFonts w:ascii="Courier New" w:hAnsi="Courier New" w:hint="default"/>
      </w:rPr>
    </w:lvl>
    <w:lvl w:ilvl="8" w:tplc="DFE4E586">
      <w:start w:val="1"/>
      <w:numFmt w:val="bullet"/>
      <w:lvlText w:val=""/>
      <w:lvlJc w:val="left"/>
      <w:pPr>
        <w:ind w:left="6480" w:hanging="360"/>
      </w:pPr>
      <w:rPr>
        <w:rFonts w:ascii="Wingdings" w:hAnsi="Wingdings" w:hint="default"/>
      </w:rPr>
    </w:lvl>
  </w:abstractNum>
  <w:abstractNum w:abstractNumId="35" w15:restartNumberingAfterBreak="0">
    <w:nsid w:val="66DC508E"/>
    <w:multiLevelType w:val="multilevel"/>
    <w:tmpl w:val="37923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440F5"/>
    <w:multiLevelType w:val="hybridMultilevel"/>
    <w:tmpl w:val="75ACBA02"/>
    <w:lvl w:ilvl="0" w:tplc="9BFC96B6">
      <w:numFmt w:val="bullet"/>
      <w:lvlText w:val="-"/>
      <w:lvlJc w:val="left"/>
      <w:pPr>
        <w:ind w:left="720" w:hanging="360"/>
      </w:pPr>
      <w:rPr>
        <w:rFonts w:ascii="Symbol" w:eastAsiaTheme="minorHAnsi"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E67AE6"/>
    <w:multiLevelType w:val="hybridMultilevel"/>
    <w:tmpl w:val="41026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9924B4"/>
    <w:multiLevelType w:val="hybridMultilevel"/>
    <w:tmpl w:val="89B2DA0E"/>
    <w:lvl w:ilvl="0" w:tplc="06D80ADE">
      <w:start w:val="1"/>
      <w:numFmt w:val="bullet"/>
      <w:lvlText w:val=""/>
      <w:lvlJc w:val="left"/>
      <w:pPr>
        <w:ind w:left="360" w:hanging="360"/>
      </w:pPr>
      <w:rPr>
        <w:rFonts w:ascii="Symbol" w:hAnsi="Symbol" w:hint="default"/>
        <w:color w:val="196B24" w:themeColor="accent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633E73"/>
    <w:multiLevelType w:val="hybridMultilevel"/>
    <w:tmpl w:val="17101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B0C50"/>
    <w:multiLevelType w:val="multilevel"/>
    <w:tmpl w:val="F1C8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867202">
    <w:abstractNumId w:val="40"/>
  </w:num>
  <w:num w:numId="2" w16cid:durableId="130832294">
    <w:abstractNumId w:val="15"/>
  </w:num>
  <w:num w:numId="3" w16cid:durableId="1344627386">
    <w:abstractNumId w:val="21"/>
  </w:num>
  <w:num w:numId="4" w16cid:durableId="1415587994">
    <w:abstractNumId w:val="25"/>
  </w:num>
  <w:num w:numId="5" w16cid:durableId="1440682179">
    <w:abstractNumId w:val="23"/>
  </w:num>
  <w:num w:numId="6" w16cid:durableId="1468400562">
    <w:abstractNumId w:val="39"/>
  </w:num>
  <w:num w:numId="7" w16cid:durableId="1492871982">
    <w:abstractNumId w:val="5"/>
  </w:num>
  <w:num w:numId="8" w16cid:durableId="1511916668">
    <w:abstractNumId w:val="29"/>
  </w:num>
  <w:num w:numId="9" w16cid:durableId="1540976459">
    <w:abstractNumId w:val="7"/>
  </w:num>
  <w:num w:numId="10" w16cid:durableId="1682467948">
    <w:abstractNumId w:val="34"/>
  </w:num>
  <w:num w:numId="11" w16cid:durableId="1758865208">
    <w:abstractNumId w:val="18"/>
  </w:num>
  <w:num w:numId="12" w16cid:durableId="1817797371">
    <w:abstractNumId w:val="38"/>
  </w:num>
  <w:num w:numId="13" w16cid:durableId="1957252719">
    <w:abstractNumId w:val="28"/>
  </w:num>
  <w:num w:numId="14" w16cid:durableId="1978604160">
    <w:abstractNumId w:val="16"/>
  </w:num>
  <w:num w:numId="15" w16cid:durableId="1979190693">
    <w:abstractNumId w:val="3"/>
  </w:num>
  <w:num w:numId="16" w16cid:durableId="2001762029">
    <w:abstractNumId w:val="20"/>
  </w:num>
  <w:num w:numId="17" w16cid:durableId="2040010120">
    <w:abstractNumId w:val="13"/>
  </w:num>
  <w:num w:numId="18" w16cid:durableId="2100908749">
    <w:abstractNumId w:val="17"/>
  </w:num>
  <w:num w:numId="19" w16cid:durableId="2137066692">
    <w:abstractNumId w:val="19"/>
    <w:lvlOverride w:ilvl="0">
      <w:startOverride w:val="1"/>
    </w:lvlOverride>
  </w:num>
  <w:num w:numId="20" w16cid:durableId="272716357">
    <w:abstractNumId w:val="14"/>
  </w:num>
  <w:num w:numId="21" w16cid:durableId="297877898">
    <w:abstractNumId w:val="22"/>
  </w:num>
  <w:num w:numId="22" w16cid:durableId="314995340">
    <w:abstractNumId w:val="31"/>
  </w:num>
  <w:num w:numId="23" w16cid:durableId="345911666">
    <w:abstractNumId w:val="6"/>
  </w:num>
  <w:num w:numId="24" w16cid:durableId="47923991">
    <w:abstractNumId w:val="1"/>
  </w:num>
  <w:num w:numId="25" w16cid:durableId="486634442">
    <w:abstractNumId w:val="27"/>
  </w:num>
  <w:num w:numId="26" w16cid:durableId="51850582">
    <w:abstractNumId w:val="37"/>
  </w:num>
  <w:num w:numId="27" w16cid:durableId="655840752">
    <w:abstractNumId w:val="10"/>
  </w:num>
  <w:num w:numId="28" w16cid:durableId="730811833">
    <w:abstractNumId w:val="36"/>
  </w:num>
  <w:num w:numId="29" w16cid:durableId="731276889">
    <w:abstractNumId w:val="9"/>
  </w:num>
  <w:num w:numId="30" w16cid:durableId="795223141">
    <w:abstractNumId w:val="33"/>
  </w:num>
  <w:num w:numId="31" w16cid:durableId="866017970">
    <w:abstractNumId w:val="2"/>
  </w:num>
  <w:num w:numId="32" w16cid:durableId="886379685">
    <w:abstractNumId w:val="8"/>
  </w:num>
  <w:num w:numId="33" w16cid:durableId="903904846">
    <w:abstractNumId w:val="35"/>
  </w:num>
  <w:num w:numId="34" w16cid:durableId="889027490">
    <w:abstractNumId w:val="0"/>
  </w:num>
  <w:num w:numId="35" w16cid:durableId="500898158">
    <w:abstractNumId w:val="26"/>
  </w:num>
  <w:num w:numId="36" w16cid:durableId="1230458162">
    <w:abstractNumId w:val="24"/>
  </w:num>
  <w:num w:numId="37" w16cid:durableId="1569533859">
    <w:abstractNumId w:val="12"/>
  </w:num>
  <w:num w:numId="38" w16cid:durableId="1489053677">
    <w:abstractNumId w:val="30"/>
  </w:num>
  <w:num w:numId="39" w16cid:durableId="832138476">
    <w:abstractNumId w:val="32"/>
  </w:num>
  <w:num w:numId="40" w16cid:durableId="446893528">
    <w:abstractNumId w:val="4"/>
  </w:num>
  <w:num w:numId="41" w16cid:durableId="13608557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09"/>
    <w:rsid w:val="00015F9F"/>
    <w:rsid w:val="000178B6"/>
    <w:rsid w:val="00023CC0"/>
    <w:rsid w:val="000241E2"/>
    <w:rsid w:val="000245D0"/>
    <w:rsid w:val="00025876"/>
    <w:rsid w:val="00026A6D"/>
    <w:rsid w:val="00026E66"/>
    <w:rsid w:val="00030A07"/>
    <w:rsid w:val="00031935"/>
    <w:rsid w:val="00033F5A"/>
    <w:rsid w:val="00035458"/>
    <w:rsid w:val="000377E5"/>
    <w:rsid w:val="00044486"/>
    <w:rsid w:val="0004481F"/>
    <w:rsid w:val="000458A1"/>
    <w:rsid w:val="00051500"/>
    <w:rsid w:val="0005337A"/>
    <w:rsid w:val="00061E63"/>
    <w:rsid w:val="000623EF"/>
    <w:rsid w:val="00070D5D"/>
    <w:rsid w:val="000727CD"/>
    <w:rsid w:val="000754E7"/>
    <w:rsid w:val="000768E2"/>
    <w:rsid w:val="00077DA0"/>
    <w:rsid w:val="00085BFA"/>
    <w:rsid w:val="000900E4"/>
    <w:rsid w:val="000955F1"/>
    <w:rsid w:val="0009673D"/>
    <w:rsid w:val="000967CD"/>
    <w:rsid w:val="00097697"/>
    <w:rsid w:val="000A14BA"/>
    <w:rsid w:val="000A1CFB"/>
    <w:rsid w:val="000A360C"/>
    <w:rsid w:val="000A4D0D"/>
    <w:rsid w:val="000A585C"/>
    <w:rsid w:val="000A5EE8"/>
    <w:rsid w:val="000A672D"/>
    <w:rsid w:val="000A6BCB"/>
    <w:rsid w:val="000B29C6"/>
    <w:rsid w:val="000B4E1C"/>
    <w:rsid w:val="000C2F5E"/>
    <w:rsid w:val="000C6590"/>
    <w:rsid w:val="000C690E"/>
    <w:rsid w:val="000D1046"/>
    <w:rsid w:val="000D2829"/>
    <w:rsid w:val="000D672B"/>
    <w:rsid w:val="000D69C6"/>
    <w:rsid w:val="000E76C4"/>
    <w:rsid w:val="000F2F7E"/>
    <w:rsid w:val="000F39C7"/>
    <w:rsid w:val="000F4818"/>
    <w:rsid w:val="000F4F19"/>
    <w:rsid w:val="001001CC"/>
    <w:rsid w:val="00101909"/>
    <w:rsid w:val="0010243F"/>
    <w:rsid w:val="00104C65"/>
    <w:rsid w:val="0011589F"/>
    <w:rsid w:val="00117F00"/>
    <w:rsid w:val="001204C6"/>
    <w:rsid w:val="00121857"/>
    <w:rsid w:val="00127E36"/>
    <w:rsid w:val="001309C1"/>
    <w:rsid w:val="00130E9A"/>
    <w:rsid w:val="0013194F"/>
    <w:rsid w:val="00132E20"/>
    <w:rsid w:val="00134870"/>
    <w:rsid w:val="00134ADC"/>
    <w:rsid w:val="001400AB"/>
    <w:rsid w:val="0014303D"/>
    <w:rsid w:val="001453B8"/>
    <w:rsid w:val="00147A4D"/>
    <w:rsid w:val="0015090B"/>
    <w:rsid w:val="0015187B"/>
    <w:rsid w:val="001525E5"/>
    <w:rsid w:val="00152856"/>
    <w:rsid w:val="00154DC0"/>
    <w:rsid w:val="00155C11"/>
    <w:rsid w:val="001577F1"/>
    <w:rsid w:val="00161426"/>
    <w:rsid w:val="00164518"/>
    <w:rsid w:val="00172404"/>
    <w:rsid w:val="00172FB1"/>
    <w:rsid w:val="00175366"/>
    <w:rsid w:val="00176464"/>
    <w:rsid w:val="00176F22"/>
    <w:rsid w:val="00177AFD"/>
    <w:rsid w:val="00180235"/>
    <w:rsid w:val="001826D7"/>
    <w:rsid w:val="001837A4"/>
    <w:rsid w:val="001869DA"/>
    <w:rsid w:val="00187DF0"/>
    <w:rsid w:val="00191C1D"/>
    <w:rsid w:val="00191D18"/>
    <w:rsid w:val="00192AB2"/>
    <w:rsid w:val="001946B6"/>
    <w:rsid w:val="001950E4"/>
    <w:rsid w:val="001A0C4F"/>
    <w:rsid w:val="001A0CB7"/>
    <w:rsid w:val="001A216C"/>
    <w:rsid w:val="001A26C3"/>
    <w:rsid w:val="001A27B2"/>
    <w:rsid w:val="001A27ED"/>
    <w:rsid w:val="001A3177"/>
    <w:rsid w:val="001A5E6C"/>
    <w:rsid w:val="001A6ED8"/>
    <w:rsid w:val="001A7245"/>
    <w:rsid w:val="001A74A6"/>
    <w:rsid w:val="001A7AD6"/>
    <w:rsid w:val="001B0934"/>
    <w:rsid w:val="001B1408"/>
    <w:rsid w:val="001B1994"/>
    <w:rsid w:val="001B31D6"/>
    <w:rsid w:val="001B3C38"/>
    <w:rsid w:val="001B5EB1"/>
    <w:rsid w:val="001B7AD5"/>
    <w:rsid w:val="001C3A9E"/>
    <w:rsid w:val="001C7861"/>
    <w:rsid w:val="001D129C"/>
    <w:rsid w:val="001D1461"/>
    <w:rsid w:val="001D1F2A"/>
    <w:rsid w:val="001D2453"/>
    <w:rsid w:val="001D760C"/>
    <w:rsid w:val="001E157C"/>
    <w:rsid w:val="001E357D"/>
    <w:rsid w:val="001E3828"/>
    <w:rsid w:val="001E38F0"/>
    <w:rsid w:val="001E574A"/>
    <w:rsid w:val="001E6612"/>
    <w:rsid w:val="001F18B3"/>
    <w:rsid w:val="001F1F0D"/>
    <w:rsid w:val="001F2B7D"/>
    <w:rsid w:val="00200563"/>
    <w:rsid w:val="00201449"/>
    <w:rsid w:val="002049C7"/>
    <w:rsid w:val="00205763"/>
    <w:rsid w:val="00210B99"/>
    <w:rsid w:val="00212831"/>
    <w:rsid w:val="00215122"/>
    <w:rsid w:val="00216D68"/>
    <w:rsid w:val="00217881"/>
    <w:rsid w:val="00220FAE"/>
    <w:rsid w:val="00222E8C"/>
    <w:rsid w:val="00224414"/>
    <w:rsid w:val="002259FD"/>
    <w:rsid w:val="00232EFA"/>
    <w:rsid w:val="00233D88"/>
    <w:rsid w:val="002359A5"/>
    <w:rsid w:val="0024377A"/>
    <w:rsid w:val="00246580"/>
    <w:rsid w:val="00246F11"/>
    <w:rsid w:val="0024798B"/>
    <w:rsid w:val="002504A8"/>
    <w:rsid w:val="00252D34"/>
    <w:rsid w:val="002579CA"/>
    <w:rsid w:val="00260356"/>
    <w:rsid w:val="00261EE9"/>
    <w:rsid w:val="00262BDD"/>
    <w:rsid w:val="00262C47"/>
    <w:rsid w:val="00266E0A"/>
    <w:rsid w:val="00271BCD"/>
    <w:rsid w:val="002742B1"/>
    <w:rsid w:val="002766AB"/>
    <w:rsid w:val="00277F7D"/>
    <w:rsid w:val="00281FFA"/>
    <w:rsid w:val="00284D96"/>
    <w:rsid w:val="00287DE6"/>
    <w:rsid w:val="00290E0A"/>
    <w:rsid w:val="0029305C"/>
    <w:rsid w:val="0029308E"/>
    <w:rsid w:val="00293561"/>
    <w:rsid w:val="00295C83"/>
    <w:rsid w:val="002A2C75"/>
    <w:rsid w:val="002A33BF"/>
    <w:rsid w:val="002A3B7F"/>
    <w:rsid w:val="002A448D"/>
    <w:rsid w:val="002A6DEF"/>
    <w:rsid w:val="002B06BB"/>
    <w:rsid w:val="002B3469"/>
    <w:rsid w:val="002B5C54"/>
    <w:rsid w:val="002B6CDA"/>
    <w:rsid w:val="002B6FDF"/>
    <w:rsid w:val="002C1DFC"/>
    <w:rsid w:val="002C25F0"/>
    <w:rsid w:val="002C3E83"/>
    <w:rsid w:val="002C50C1"/>
    <w:rsid w:val="002C6F9C"/>
    <w:rsid w:val="002C7EAB"/>
    <w:rsid w:val="002D1A92"/>
    <w:rsid w:val="002D21FD"/>
    <w:rsid w:val="002D31CA"/>
    <w:rsid w:val="002D3B65"/>
    <w:rsid w:val="002D4221"/>
    <w:rsid w:val="002D590B"/>
    <w:rsid w:val="002E0C5E"/>
    <w:rsid w:val="002E2CB9"/>
    <w:rsid w:val="002E40C1"/>
    <w:rsid w:val="002E4B76"/>
    <w:rsid w:val="002E5235"/>
    <w:rsid w:val="002E6997"/>
    <w:rsid w:val="002E79D4"/>
    <w:rsid w:val="002E7CA5"/>
    <w:rsid w:val="002F36EB"/>
    <w:rsid w:val="002F7268"/>
    <w:rsid w:val="00301577"/>
    <w:rsid w:val="00303039"/>
    <w:rsid w:val="003044B5"/>
    <w:rsid w:val="00305BC9"/>
    <w:rsid w:val="00315082"/>
    <w:rsid w:val="00315D20"/>
    <w:rsid w:val="00316A4F"/>
    <w:rsid w:val="00316F63"/>
    <w:rsid w:val="00320B52"/>
    <w:rsid w:val="00321021"/>
    <w:rsid w:val="00321AE0"/>
    <w:rsid w:val="003259D9"/>
    <w:rsid w:val="00326303"/>
    <w:rsid w:val="00330A4B"/>
    <w:rsid w:val="00333FCC"/>
    <w:rsid w:val="003345A3"/>
    <w:rsid w:val="003377C9"/>
    <w:rsid w:val="00341DB6"/>
    <w:rsid w:val="00342B4B"/>
    <w:rsid w:val="00345C32"/>
    <w:rsid w:val="0034618A"/>
    <w:rsid w:val="00350B62"/>
    <w:rsid w:val="00350EB6"/>
    <w:rsid w:val="00350FA1"/>
    <w:rsid w:val="00351A85"/>
    <w:rsid w:val="00361C32"/>
    <w:rsid w:val="00364DCC"/>
    <w:rsid w:val="003659C7"/>
    <w:rsid w:val="00365ACE"/>
    <w:rsid w:val="00371BC3"/>
    <w:rsid w:val="0037304F"/>
    <w:rsid w:val="00373DF3"/>
    <w:rsid w:val="003814AB"/>
    <w:rsid w:val="0038153E"/>
    <w:rsid w:val="003816C6"/>
    <w:rsid w:val="003830C3"/>
    <w:rsid w:val="003854DE"/>
    <w:rsid w:val="00386009"/>
    <w:rsid w:val="003925CD"/>
    <w:rsid w:val="00393D90"/>
    <w:rsid w:val="00396BE5"/>
    <w:rsid w:val="00396E4F"/>
    <w:rsid w:val="003977DB"/>
    <w:rsid w:val="003A068F"/>
    <w:rsid w:val="003A6760"/>
    <w:rsid w:val="003B0939"/>
    <w:rsid w:val="003B0DAC"/>
    <w:rsid w:val="003B24AA"/>
    <w:rsid w:val="003B41B4"/>
    <w:rsid w:val="003B60F4"/>
    <w:rsid w:val="003B6EFD"/>
    <w:rsid w:val="003C1CF6"/>
    <w:rsid w:val="003C2211"/>
    <w:rsid w:val="003C47F8"/>
    <w:rsid w:val="003C7A5A"/>
    <w:rsid w:val="003D1C53"/>
    <w:rsid w:val="003D220B"/>
    <w:rsid w:val="003D35F9"/>
    <w:rsid w:val="003D3B50"/>
    <w:rsid w:val="003D490D"/>
    <w:rsid w:val="003D52F4"/>
    <w:rsid w:val="003D63CA"/>
    <w:rsid w:val="003D6E17"/>
    <w:rsid w:val="003D700F"/>
    <w:rsid w:val="003E157B"/>
    <w:rsid w:val="003E64F7"/>
    <w:rsid w:val="003E686C"/>
    <w:rsid w:val="003E731B"/>
    <w:rsid w:val="003F36AF"/>
    <w:rsid w:val="003F50CA"/>
    <w:rsid w:val="003F6B1B"/>
    <w:rsid w:val="00401DEB"/>
    <w:rsid w:val="004106B0"/>
    <w:rsid w:val="00411066"/>
    <w:rsid w:val="004121C2"/>
    <w:rsid w:val="004149E9"/>
    <w:rsid w:val="00420B9E"/>
    <w:rsid w:val="00425E3A"/>
    <w:rsid w:val="004273BD"/>
    <w:rsid w:val="00430E9B"/>
    <w:rsid w:val="004329A5"/>
    <w:rsid w:val="004332B8"/>
    <w:rsid w:val="00434E9E"/>
    <w:rsid w:val="00435E73"/>
    <w:rsid w:val="004360D7"/>
    <w:rsid w:val="00436228"/>
    <w:rsid w:val="004363D7"/>
    <w:rsid w:val="00441FAD"/>
    <w:rsid w:val="004445E8"/>
    <w:rsid w:val="00445C38"/>
    <w:rsid w:val="00445FC0"/>
    <w:rsid w:val="004465D6"/>
    <w:rsid w:val="00446B05"/>
    <w:rsid w:val="004520CC"/>
    <w:rsid w:val="004548B9"/>
    <w:rsid w:val="0045602D"/>
    <w:rsid w:val="00457066"/>
    <w:rsid w:val="0046058F"/>
    <w:rsid w:val="004626D6"/>
    <w:rsid w:val="00464E39"/>
    <w:rsid w:val="00467989"/>
    <w:rsid w:val="00474B67"/>
    <w:rsid w:val="00477F51"/>
    <w:rsid w:val="00482C32"/>
    <w:rsid w:val="00485E23"/>
    <w:rsid w:val="00486647"/>
    <w:rsid w:val="00486B09"/>
    <w:rsid w:val="004870E6"/>
    <w:rsid w:val="0049034F"/>
    <w:rsid w:val="00492FFD"/>
    <w:rsid w:val="0049411A"/>
    <w:rsid w:val="00495811"/>
    <w:rsid w:val="004A0032"/>
    <w:rsid w:val="004A18B8"/>
    <w:rsid w:val="004A24E3"/>
    <w:rsid w:val="004A3945"/>
    <w:rsid w:val="004B0A17"/>
    <w:rsid w:val="004B1F87"/>
    <w:rsid w:val="004B242B"/>
    <w:rsid w:val="004B3A51"/>
    <w:rsid w:val="004B4BF6"/>
    <w:rsid w:val="004B5825"/>
    <w:rsid w:val="004B64A2"/>
    <w:rsid w:val="004C3FEF"/>
    <w:rsid w:val="004C485C"/>
    <w:rsid w:val="004C6249"/>
    <w:rsid w:val="004D31A7"/>
    <w:rsid w:val="004D500B"/>
    <w:rsid w:val="004E5ECA"/>
    <w:rsid w:val="004E7E7A"/>
    <w:rsid w:val="004F1080"/>
    <w:rsid w:val="004F2666"/>
    <w:rsid w:val="004F3644"/>
    <w:rsid w:val="004F47FE"/>
    <w:rsid w:val="004F78CA"/>
    <w:rsid w:val="005030BA"/>
    <w:rsid w:val="00504EEF"/>
    <w:rsid w:val="005140E4"/>
    <w:rsid w:val="00514379"/>
    <w:rsid w:val="00522145"/>
    <w:rsid w:val="005234D1"/>
    <w:rsid w:val="00527518"/>
    <w:rsid w:val="0053204D"/>
    <w:rsid w:val="00533DFD"/>
    <w:rsid w:val="00536129"/>
    <w:rsid w:val="00543B17"/>
    <w:rsid w:val="005462C2"/>
    <w:rsid w:val="00546836"/>
    <w:rsid w:val="00547C16"/>
    <w:rsid w:val="005551E5"/>
    <w:rsid w:val="005554C4"/>
    <w:rsid w:val="005575F4"/>
    <w:rsid w:val="00563B4C"/>
    <w:rsid w:val="00565B6C"/>
    <w:rsid w:val="00565BD5"/>
    <w:rsid w:val="00565DE9"/>
    <w:rsid w:val="005677BD"/>
    <w:rsid w:val="00570E25"/>
    <w:rsid w:val="00571B24"/>
    <w:rsid w:val="00572378"/>
    <w:rsid w:val="00575939"/>
    <w:rsid w:val="00580965"/>
    <w:rsid w:val="00581A22"/>
    <w:rsid w:val="00582125"/>
    <w:rsid w:val="00583519"/>
    <w:rsid w:val="00583A75"/>
    <w:rsid w:val="0058450C"/>
    <w:rsid w:val="005864C3"/>
    <w:rsid w:val="00586C94"/>
    <w:rsid w:val="00591C88"/>
    <w:rsid w:val="00592710"/>
    <w:rsid w:val="00592DB1"/>
    <w:rsid w:val="00594A27"/>
    <w:rsid w:val="00595604"/>
    <w:rsid w:val="005A0BD5"/>
    <w:rsid w:val="005A2B8F"/>
    <w:rsid w:val="005A3338"/>
    <w:rsid w:val="005A5F2F"/>
    <w:rsid w:val="005B21AB"/>
    <w:rsid w:val="005B25D9"/>
    <w:rsid w:val="005B30B7"/>
    <w:rsid w:val="005B32CB"/>
    <w:rsid w:val="005B339E"/>
    <w:rsid w:val="005B5644"/>
    <w:rsid w:val="005B59A7"/>
    <w:rsid w:val="005C358F"/>
    <w:rsid w:val="005C6DD4"/>
    <w:rsid w:val="005D10B6"/>
    <w:rsid w:val="005D3072"/>
    <w:rsid w:val="005D3702"/>
    <w:rsid w:val="005D46FC"/>
    <w:rsid w:val="005D580E"/>
    <w:rsid w:val="005D6631"/>
    <w:rsid w:val="005D6D40"/>
    <w:rsid w:val="005D75AF"/>
    <w:rsid w:val="005E1BE5"/>
    <w:rsid w:val="005E1D7B"/>
    <w:rsid w:val="005E3664"/>
    <w:rsid w:val="005E38FA"/>
    <w:rsid w:val="005F1543"/>
    <w:rsid w:val="005F2A5A"/>
    <w:rsid w:val="005F391A"/>
    <w:rsid w:val="005F3D0C"/>
    <w:rsid w:val="006003D8"/>
    <w:rsid w:val="006010C6"/>
    <w:rsid w:val="006014A7"/>
    <w:rsid w:val="0060317D"/>
    <w:rsid w:val="00604ADE"/>
    <w:rsid w:val="00606FE9"/>
    <w:rsid w:val="006102A7"/>
    <w:rsid w:val="00611A5A"/>
    <w:rsid w:val="006144FB"/>
    <w:rsid w:val="00615789"/>
    <w:rsid w:val="00617D48"/>
    <w:rsid w:val="0062195D"/>
    <w:rsid w:val="00622910"/>
    <w:rsid w:val="00624475"/>
    <w:rsid w:val="006250E6"/>
    <w:rsid w:val="00626F26"/>
    <w:rsid w:val="0063099F"/>
    <w:rsid w:val="00631ADC"/>
    <w:rsid w:val="006320CA"/>
    <w:rsid w:val="006324AD"/>
    <w:rsid w:val="00632886"/>
    <w:rsid w:val="00633290"/>
    <w:rsid w:val="00635F50"/>
    <w:rsid w:val="0064081C"/>
    <w:rsid w:val="00643762"/>
    <w:rsid w:val="00650633"/>
    <w:rsid w:val="00652F2A"/>
    <w:rsid w:val="00654D85"/>
    <w:rsid w:val="0065641B"/>
    <w:rsid w:val="00660209"/>
    <w:rsid w:val="00661BBE"/>
    <w:rsid w:val="006664FA"/>
    <w:rsid w:val="00673930"/>
    <w:rsid w:val="006749AF"/>
    <w:rsid w:val="00674CAD"/>
    <w:rsid w:val="006756F2"/>
    <w:rsid w:val="00676876"/>
    <w:rsid w:val="00677A54"/>
    <w:rsid w:val="00680ED1"/>
    <w:rsid w:val="00681D08"/>
    <w:rsid w:val="00682FFE"/>
    <w:rsid w:val="00683148"/>
    <w:rsid w:val="00685442"/>
    <w:rsid w:val="00686293"/>
    <w:rsid w:val="00687C23"/>
    <w:rsid w:val="00687CFA"/>
    <w:rsid w:val="00690B16"/>
    <w:rsid w:val="00691A54"/>
    <w:rsid w:val="00691D63"/>
    <w:rsid w:val="00694494"/>
    <w:rsid w:val="00696E7B"/>
    <w:rsid w:val="00697347"/>
    <w:rsid w:val="006A367E"/>
    <w:rsid w:val="006A3A8D"/>
    <w:rsid w:val="006A7B6D"/>
    <w:rsid w:val="006B12FC"/>
    <w:rsid w:val="006B2D8E"/>
    <w:rsid w:val="006B2E82"/>
    <w:rsid w:val="006B350C"/>
    <w:rsid w:val="006B4316"/>
    <w:rsid w:val="006B45E2"/>
    <w:rsid w:val="006B5F3D"/>
    <w:rsid w:val="006B5F9C"/>
    <w:rsid w:val="006B6095"/>
    <w:rsid w:val="006B7C0C"/>
    <w:rsid w:val="006B7E60"/>
    <w:rsid w:val="006C12AE"/>
    <w:rsid w:val="006C339A"/>
    <w:rsid w:val="006C3569"/>
    <w:rsid w:val="006C51FC"/>
    <w:rsid w:val="006D1A97"/>
    <w:rsid w:val="006D62B9"/>
    <w:rsid w:val="006E05EB"/>
    <w:rsid w:val="006E1184"/>
    <w:rsid w:val="006E3956"/>
    <w:rsid w:val="006E590E"/>
    <w:rsid w:val="006F027A"/>
    <w:rsid w:val="006F350C"/>
    <w:rsid w:val="006F3ED3"/>
    <w:rsid w:val="006F4C82"/>
    <w:rsid w:val="006F5CE0"/>
    <w:rsid w:val="006F7CC9"/>
    <w:rsid w:val="0070228A"/>
    <w:rsid w:val="007034D7"/>
    <w:rsid w:val="00704852"/>
    <w:rsid w:val="00704F3F"/>
    <w:rsid w:val="007051F5"/>
    <w:rsid w:val="00705A65"/>
    <w:rsid w:val="00706853"/>
    <w:rsid w:val="00707658"/>
    <w:rsid w:val="00710ECD"/>
    <w:rsid w:val="00711D56"/>
    <w:rsid w:val="00713FC6"/>
    <w:rsid w:val="00721966"/>
    <w:rsid w:val="007227F3"/>
    <w:rsid w:val="007231C1"/>
    <w:rsid w:val="00723233"/>
    <w:rsid w:val="00725BAB"/>
    <w:rsid w:val="0072663E"/>
    <w:rsid w:val="00726C4E"/>
    <w:rsid w:val="00730410"/>
    <w:rsid w:val="00732C5C"/>
    <w:rsid w:val="007332CB"/>
    <w:rsid w:val="00736458"/>
    <w:rsid w:val="00740408"/>
    <w:rsid w:val="007404F7"/>
    <w:rsid w:val="00741460"/>
    <w:rsid w:val="00741FC1"/>
    <w:rsid w:val="00742F4A"/>
    <w:rsid w:val="007468C4"/>
    <w:rsid w:val="00747C03"/>
    <w:rsid w:val="00751F3F"/>
    <w:rsid w:val="00753011"/>
    <w:rsid w:val="00754449"/>
    <w:rsid w:val="0075607A"/>
    <w:rsid w:val="007560D7"/>
    <w:rsid w:val="007568DC"/>
    <w:rsid w:val="00760894"/>
    <w:rsid w:val="00762093"/>
    <w:rsid w:val="007620D9"/>
    <w:rsid w:val="0076212F"/>
    <w:rsid w:val="007627FF"/>
    <w:rsid w:val="007667DE"/>
    <w:rsid w:val="007671C2"/>
    <w:rsid w:val="00767B73"/>
    <w:rsid w:val="007709B8"/>
    <w:rsid w:val="007718AD"/>
    <w:rsid w:val="007723E7"/>
    <w:rsid w:val="0077297E"/>
    <w:rsid w:val="0077384A"/>
    <w:rsid w:val="00773F66"/>
    <w:rsid w:val="007744D5"/>
    <w:rsid w:val="00774925"/>
    <w:rsid w:val="007762B1"/>
    <w:rsid w:val="00776D8D"/>
    <w:rsid w:val="00781474"/>
    <w:rsid w:val="0078174C"/>
    <w:rsid w:val="00781F48"/>
    <w:rsid w:val="007829F6"/>
    <w:rsid w:val="0078462D"/>
    <w:rsid w:val="00787C42"/>
    <w:rsid w:val="00795192"/>
    <w:rsid w:val="00796177"/>
    <w:rsid w:val="00797218"/>
    <w:rsid w:val="007A34AC"/>
    <w:rsid w:val="007A73D2"/>
    <w:rsid w:val="007A7A8A"/>
    <w:rsid w:val="007B1562"/>
    <w:rsid w:val="007B2B84"/>
    <w:rsid w:val="007B2D2B"/>
    <w:rsid w:val="007B4383"/>
    <w:rsid w:val="007B7320"/>
    <w:rsid w:val="007C44D7"/>
    <w:rsid w:val="007D15FD"/>
    <w:rsid w:val="007D4131"/>
    <w:rsid w:val="007D51C4"/>
    <w:rsid w:val="007D6168"/>
    <w:rsid w:val="007D622F"/>
    <w:rsid w:val="007E0752"/>
    <w:rsid w:val="007E1E37"/>
    <w:rsid w:val="007E7E62"/>
    <w:rsid w:val="007F19FF"/>
    <w:rsid w:val="007F2C52"/>
    <w:rsid w:val="007F56E9"/>
    <w:rsid w:val="007F608B"/>
    <w:rsid w:val="007F6ACF"/>
    <w:rsid w:val="007F7FB1"/>
    <w:rsid w:val="00802C27"/>
    <w:rsid w:val="00805080"/>
    <w:rsid w:val="00806E33"/>
    <w:rsid w:val="00813F43"/>
    <w:rsid w:val="00814541"/>
    <w:rsid w:val="008172B6"/>
    <w:rsid w:val="0082625E"/>
    <w:rsid w:val="00826C1A"/>
    <w:rsid w:val="008307AF"/>
    <w:rsid w:val="0083164F"/>
    <w:rsid w:val="00831BC7"/>
    <w:rsid w:val="008348CA"/>
    <w:rsid w:val="00836286"/>
    <w:rsid w:val="00837CC2"/>
    <w:rsid w:val="00845317"/>
    <w:rsid w:val="00846E5C"/>
    <w:rsid w:val="00846F70"/>
    <w:rsid w:val="00853C4F"/>
    <w:rsid w:val="008547B7"/>
    <w:rsid w:val="008631E7"/>
    <w:rsid w:val="008634B4"/>
    <w:rsid w:val="00864593"/>
    <w:rsid w:val="00864D42"/>
    <w:rsid w:val="00866913"/>
    <w:rsid w:val="008675B6"/>
    <w:rsid w:val="008723EC"/>
    <w:rsid w:val="00872415"/>
    <w:rsid w:val="00873795"/>
    <w:rsid w:val="0087470D"/>
    <w:rsid w:val="00875A22"/>
    <w:rsid w:val="00876F16"/>
    <w:rsid w:val="00881BCE"/>
    <w:rsid w:val="00885111"/>
    <w:rsid w:val="00891E9F"/>
    <w:rsid w:val="00897F96"/>
    <w:rsid w:val="008A0226"/>
    <w:rsid w:val="008A0A10"/>
    <w:rsid w:val="008A29B4"/>
    <w:rsid w:val="008A4FD2"/>
    <w:rsid w:val="008A6500"/>
    <w:rsid w:val="008A78D7"/>
    <w:rsid w:val="008A7CBB"/>
    <w:rsid w:val="008B03B3"/>
    <w:rsid w:val="008B48E2"/>
    <w:rsid w:val="008B5168"/>
    <w:rsid w:val="008B5D61"/>
    <w:rsid w:val="008B6775"/>
    <w:rsid w:val="008B6988"/>
    <w:rsid w:val="008C08E3"/>
    <w:rsid w:val="008C1140"/>
    <w:rsid w:val="008C4C1C"/>
    <w:rsid w:val="008C4F3A"/>
    <w:rsid w:val="008D09F3"/>
    <w:rsid w:val="008D2117"/>
    <w:rsid w:val="008D218D"/>
    <w:rsid w:val="008D4A60"/>
    <w:rsid w:val="008D6682"/>
    <w:rsid w:val="008E057A"/>
    <w:rsid w:val="008E16B4"/>
    <w:rsid w:val="008E238A"/>
    <w:rsid w:val="008E2614"/>
    <w:rsid w:val="008E2E12"/>
    <w:rsid w:val="008E33AD"/>
    <w:rsid w:val="008E57CB"/>
    <w:rsid w:val="008E5845"/>
    <w:rsid w:val="008E648A"/>
    <w:rsid w:val="008F02CC"/>
    <w:rsid w:val="008F212F"/>
    <w:rsid w:val="008F5B0A"/>
    <w:rsid w:val="008F69F5"/>
    <w:rsid w:val="0090144B"/>
    <w:rsid w:val="00905131"/>
    <w:rsid w:val="00905665"/>
    <w:rsid w:val="00906D38"/>
    <w:rsid w:val="00907830"/>
    <w:rsid w:val="00907DA4"/>
    <w:rsid w:val="009113DA"/>
    <w:rsid w:val="009133B9"/>
    <w:rsid w:val="009152F1"/>
    <w:rsid w:val="009168AE"/>
    <w:rsid w:val="00916ABA"/>
    <w:rsid w:val="00916D2A"/>
    <w:rsid w:val="00922109"/>
    <w:rsid w:val="00927232"/>
    <w:rsid w:val="0092791A"/>
    <w:rsid w:val="00927D88"/>
    <w:rsid w:val="00930EC9"/>
    <w:rsid w:val="00934052"/>
    <w:rsid w:val="00935F54"/>
    <w:rsid w:val="00936809"/>
    <w:rsid w:val="0093768D"/>
    <w:rsid w:val="009423CF"/>
    <w:rsid w:val="00943C00"/>
    <w:rsid w:val="00944AD6"/>
    <w:rsid w:val="00944C4B"/>
    <w:rsid w:val="00951069"/>
    <w:rsid w:val="009510FC"/>
    <w:rsid w:val="00951FE9"/>
    <w:rsid w:val="00953617"/>
    <w:rsid w:val="00953A44"/>
    <w:rsid w:val="00953D81"/>
    <w:rsid w:val="00954146"/>
    <w:rsid w:val="00956E44"/>
    <w:rsid w:val="00957246"/>
    <w:rsid w:val="0095783F"/>
    <w:rsid w:val="009620F3"/>
    <w:rsid w:val="00963772"/>
    <w:rsid w:val="00975AA1"/>
    <w:rsid w:val="00976356"/>
    <w:rsid w:val="0097727B"/>
    <w:rsid w:val="00983693"/>
    <w:rsid w:val="00985016"/>
    <w:rsid w:val="009851CD"/>
    <w:rsid w:val="009875B5"/>
    <w:rsid w:val="0099094F"/>
    <w:rsid w:val="0099121F"/>
    <w:rsid w:val="009917A4"/>
    <w:rsid w:val="00991CA0"/>
    <w:rsid w:val="00993284"/>
    <w:rsid w:val="0099329E"/>
    <w:rsid w:val="009939C5"/>
    <w:rsid w:val="00993D35"/>
    <w:rsid w:val="00993E89"/>
    <w:rsid w:val="009972B9"/>
    <w:rsid w:val="009A03B8"/>
    <w:rsid w:val="009A368C"/>
    <w:rsid w:val="009A3F99"/>
    <w:rsid w:val="009A5053"/>
    <w:rsid w:val="009A524B"/>
    <w:rsid w:val="009A52BD"/>
    <w:rsid w:val="009A7432"/>
    <w:rsid w:val="009A7F7F"/>
    <w:rsid w:val="009B0AC0"/>
    <w:rsid w:val="009B29C1"/>
    <w:rsid w:val="009B3D43"/>
    <w:rsid w:val="009B5430"/>
    <w:rsid w:val="009B63FE"/>
    <w:rsid w:val="009C0BBD"/>
    <w:rsid w:val="009C43CF"/>
    <w:rsid w:val="009C5FA6"/>
    <w:rsid w:val="009C6F23"/>
    <w:rsid w:val="009D0701"/>
    <w:rsid w:val="009D122C"/>
    <w:rsid w:val="009D2E80"/>
    <w:rsid w:val="009D36E8"/>
    <w:rsid w:val="009D3E16"/>
    <w:rsid w:val="009D6387"/>
    <w:rsid w:val="009E0BD7"/>
    <w:rsid w:val="009E1AC0"/>
    <w:rsid w:val="009E32A9"/>
    <w:rsid w:val="009E451F"/>
    <w:rsid w:val="009E742E"/>
    <w:rsid w:val="009F0ACB"/>
    <w:rsid w:val="009F5B0D"/>
    <w:rsid w:val="009F7EE8"/>
    <w:rsid w:val="00A01E1D"/>
    <w:rsid w:val="00A06AB3"/>
    <w:rsid w:val="00A07F42"/>
    <w:rsid w:val="00A13522"/>
    <w:rsid w:val="00A1454B"/>
    <w:rsid w:val="00A1458B"/>
    <w:rsid w:val="00A15CF0"/>
    <w:rsid w:val="00A203A7"/>
    <w:rsid w:val="00A20C41"/>
    <w:rsid w:val="00A227D8"/>
    <w:rsid w:val="00A25771"/>
    <w:rsid w:val="00A25A54"/>
    <w:rsid w:val="00A26108"/>
    <w:rsid w:val="00A26B67"/>
    <w:rsid w:val="00A26BBD"/>
    <w:rsid w:val="00A309B3"/>
    <w:rsid w:val="00A3373C"/>
    <w:rsid w:val="00A357EA"/>
    <w:rsid w:val="00A40B43"/>
    <w:rsid w:val="00A41958"/>
    <w:rsid w:val="00A41B52"/>
    <w:rsid w:val="00A4377C"/>
    <w:rsid w:val="00A45D9A"/>
    <w:rsid w:val="00A46239"/>
    <w:rsid w:val="00A47D34"/>
    <w:rsid w:val="00A522E0"/>
    <w:rsid w:val="00A534BC"/>
    <w:rsid w:val="00A53E16"/>
    <w:rsid w:val="00A554CA"/>
    <w:rsid w:val="00A570BA"/>
    <w:rsid w:val="00A57EC2"/>
    <w:rsid w:val="00A60290"/>
    <w:rsid w:val="00A626D3"/>
    <w:rsid w:val="00A65A8E"/>
    <w:rsid w:val="00A66527"/>
    <w:rsid w:val="00A66A28"/>
    <w:rsid w:val="00A7056A"/>
    <w:rsid w:val="00A708B4"/>
    <w:rsid w:val="00A71AE7"/>
    <w:rsid w:val="00A71CF5"/>
    <w:rsid w:val="00A74EF7"/>
    <w:rsid w:val="00A74F64"/>
    <w:rsid w:val="00A7730C"/>
    <w:rsid w:val="00A81F3A"/>
    <w:rsid w:val="00A83026"/>
    <w:rsid w:val="00A83CE7"/>
    <w:rsid w:val="00A843CC"/>
    <w:rsid w:val="00A8717A"/>
    <w:rsid w:val="00A91402"/>
    <w:rsid w:val="00A927BF"/>
    <w:rsid w:val="00A92F5E"/>
    <w:rsid w:val="00A95572"/>
    <w:rsid w:val="00A95A14"/>
    <w:rsid w:val="00A9709B"/>
    <w:rsid w:val="00A97831"/>
    <w:rsid w:val="00AA1E11"/>
    <w:rsid w:val="00AA557A"/>
    <w:rsid w:val="00AA7BE9"/>
    <w:rsid w:val="00AB0F32"/>
    <w:rsid w:val="00AB2BDD"/>
    <w:rsid w:val="00AB352E"/>
    <w:rsid w:val="00AB4887"/>
    <w:rsid w:val="00AB5999"/>
    <w:rsid w:val="00AB5D6D"/>
    <w:rsid w:val="00AB70FE"/>
    <w:rsid w:val="00AC0959"/>
    <w:rsid w:val="00AC1EBC"/>
    <w:rsid w:val="00AC2BDF"/>
    <w:rsid w:val="00AC3F04"/>
    <w:rsid w:val="00AC4D0E"/>
    <w:rsid w:val="00AC727A"/>
    <w:rsid w:val="00AD2059"/>
    <w:rsid w:val="00AD2348"/>
    <w:rsid w:val="00AD3E4B"/>
    <w:rsid w:val="00AD484A"/>
    <w:rsid w:val="00AE0E05"/>
    <w:rsid w:val="00AE3910"/>
    <w:rsid w:val="00AE45F9"/>
    <w:rsid w:val="00AE7B8B"/>
    <w:rsid w:val="00AF189B"/>
    <w:rsid w:val="00AF2568"/>
    <w:rsid w:val="00AF455A"/>
    <w:rsid w:val="00AF6BAF"/>
    <w:rsid w:val="00AF6C63"/>
    <w:rsid w:val="00B00A78"/>
    <w:rsid w:val="00B012A4"/>
    <w:rsid w:val="00B044D2"/>
    <w:rsid w:val="00B044EA"/>
    <w:rsid w:val="00B06D7E"/>
    <w:rsid w:val="00B104B0"/>
    <w:rsid w:val="00B137D2"/>
    <w:rsid w:val="00B13ED7"/>
    <w:rsid w:val="00B211E6"/>
    <w:rsid w:val="00B22CFB"/>
    <w:rsid w:val="00B2342A"/>
    <w:rsid w:val="00B237AF"/>
    <w:rsid w:val="00B24580"/>
    <w:rsid w:val="00B2500D"/>
    <w:rsid w:val="00B27CF8"/>
    <w:rsid w:val="00B3174D"/>
    <w:rsid w:val="00B31DC0"/>
    <w:rsid w:val="00B33CC4"/>
    <w:rsid w:val="00B343AA"/>
    <w:rsid w:val="00B354B9"/>
    <w:rsid w:val="00B369FC"/>
    <w:rsid w:val="00B36BDB"/>
    <w:rsid w:val="00B411BE"/>
    <w:rsid w:val="00B47773"/>
    <w:rsid w:val="00B47DDD"/>
    <w:rsid w:val="00B50B80"/>
    <w:rsid w:val="00B512B6"/>
    <w:rsid w:val="00B541F7"/>
    <w:rsid w:val="00B57433"/>
    <w:rsid w:val="00B60282"/>
    <w:rsid w:val="00B60645"/>
    <w:rsid w:val="00B61E83"/>
    <w:rsid w:val="00B64954"/>
    <w:rsid w:val="00B6700A"/>
    <w:rsid w:val="00B67117"/>
    <w:rsid w:val="00B71248"/>
    <w:rsid w:val="00B74013"/>
    <w:rsid w:val="00B80D73"/>
    <w:rsid w:val="00B81682"/>
    <w:rsid w:val="00B83215"/>
    <w:rsid w:val="00B90467"/>
    <w:rsid w:val="00B90490"/>
    <w:rsid w:val="00B91163"/>
    <w:rsid w:val="00B91BE0"/>
    <w:rsid w:val="00B91D6D"/>
    <w:rsid w:val="00B94766"/>
    <w:rsid w:val="00B94BE7"/>
    <w:rsid w:val="00B97255"/>
    <w:rsid w:val="00BA0686"/>
    <w:rsid w:val="00BA0EB6"/>
    <w:rsid w:val="00BA6B8C"/>
    <w:rsid w:val="00BA75BA"/>
    <w:rsid w:val="00BB152A"/>
    <w:rsid w:val="00BB19D4"/>
    <w:rsid w:val="00BB1FFD"/>
    <w:rsid w:val="00BB5499"/>
    <w:rsid w:val="00BB7274"/>
    <w:rsid w:val="00BC0A41"/>
    <w:rsid w:val="00BC1CA0"/>
    <w:rsid w:val="00BC26BB"/>
    <w:rsid w:val="00BC7975"/>
    <w:rsid w:val="00BD0586"/>
    <w:rsid w:val="00BD1491"/>
    <w:rsid w:val="00BD21C3"/>
    <w:rsid w:val="00BD55CA"/>
    <w:rsid w:val="00BD724E"/>
    <w:rsid w:val="00BD7F17"/>
    <w:rsid w:val="00BE1485"/>
    <w:rsid w:val="00BE1D0C"/>
    <w:rsid w:val="00BE3A4F"/>
    <w:rsid w:val="00BF3AC5"/>
    <w:rsid w:val="00BF54B4"/>
    <w:rsid w:val="00BF6100"/>
    <w:rsid w:val="00BF7431"/>
    <w:rsid w:val="00C0474B"/>
    <w:rsid w:val="00C16D5F"/>
    <w:rsid w:val="00C1710D"/>
    <w:rsid w:val="00C17A57"/>
    <w:rsid w:val="00C17F34"/>
    <w:rsid w:val="00C23A61"/>
    <w:rsid w:val="00C24BCF"/>
    <w:rsid w:val="00C2553F"/>
    <w:rsid w:val="00C25A05"/>
    <w:rsid w:val="00C276F2"/>
    <w:rsid w:val="00C3034B"/>
    <w:rsid w:val="00C30811"/>
    <w:rsid w:val="00C323FE"/>
    <w:rsid w:val="00C34A7F"/>
    <w:rsid w:val="00C34D0F"/>
    <w:rsid w:val="00C34F65"/>
    <w:rsid w:val="00C35470"/>
    <w:rsid w:val="00C35666"/>
    <w:rsid w:val="00C43068"/>
    <w:rsid w:val="00C43B5C"/>
    <w:rsid w:val="00C44454"/>
    <w:rsid w:val="00C45523"/>
    <w:rsid w:val="00C45A09"/>
    <w:rsid w:val="00C45C90"/>
    <w:rsid w:val="00C463C4"/>
    <w:rsid w:val="00C500E0"/>
    <w:rsid w:val="00C50874"/>
    <w:rsid w:val="00C52D09"/>
    <w:rsid w:val="00C5418C"/>
    <w:rsid w:val="00C608E3"/>
    <w:rsid w:val="00C6160A"/>
    <w:rsid w:val="00C6246E"/>
    <w:rsid w:val="00C64522"/>
    <w:rsid w:val="00C64CB9"/>
    <w:rsid w:val="00C6530B"/>
    <w:rsid w:val="00C67102"/>
    <w:rsid w:val="00C73128"/>
    <w:rsid w:val="00C744A4"/>
    <w:rsid w:val="00C803AE"/>
    <w:rsid w:val="00C80F9E"/>
    <w:rsid w:val="00C84842"/>
    <w:rsid w:val="00C853BF"/>
    <w:rsid w:val="00C8593C"/>
    <w:rsid w:val="00C87B78"/>
    <w:rsid w:val="00C90C29"/>
    <w:rsid w:val="00C955B8"/>
    <w:rsid w:val="00C95BCB"/>
    <w:rsid w:val="00C97A0C"/>
    <w:rsid w:val="00C97C23"/>
    <w:rsid w:val="00CA0150"/>
    <w:rsid w:val="00CA15A4"/>
    <w:rsid w:val="00CA1E4E"/>
    <w:rsid w:val="00CA380B"/>
    <w:rsid w:val="00CA4D18"/>
    <w:rsid w:val="00CA53AA"/>
    <w:rsid w:val="00CB24A1"/>
    <w:rsid w:val="00CB2A73"/>
    <w:rsid w:val="00CB46B4"/>
    <w:rsid w:val="00CB525C"/>
    <w:rsid w:val="00CB68F2"/>
    <w:rsid w:val="00CB7F5C"/>
    <w:rsid w:val="00CC1990"/>
    <w:rsid w:val="00CC52F5"/>
    <w:rsid w:val="00CC734B"/>
    <w:rsid w:val="00CE0719"/>
    <w:rsid w:val="00CE10F7"/>
    <w:rsid w:val="00CE1A14"/>
    <w:rsid w:val="00CE206E"/>
    <w:rsid w:val="00CE6018"/>
    <w:rsid w:val="00CE6656"/>
    <w:rsid w:val="00CE7E82"/>
    <w:rsid w:val="00CE7F77"/>
    <w:rsid w:val="00CF02D7"/>
    <w:rsid w:val="00CF1A0D"/>
    <w:rsid w:val="00CF1D00"/>
    <w:rsid w:val="00CF3E97"/>
    <w:rsid w:val="00CF51BA"/>
    <w:rsid w:val="00D003E5"/>
    <w:rsid w:val="00D00E2F"/>
    <w:rsid w:val="00D00EF5"/>
    <w:rsid w:val="00D018A2"/>
    <w:rsid w:val="00D02226"/>
    <w:rsid w:val="00D061B9"/>
    <w:rsid w:val="00D1214E"/>
    <w:rsid w:val="00D1244B"/>
    <w:rsid w:val="00D175E2"/>
    <w:rsid w:val="00D2081C"/>
    <w:rsid w:val="00D33E96"/>
    <w:rsid w:val="00D3774F"/>
    <w:rsid w:val="00D40C60"/>
    <w:rsid w:val="00D44FF9"/>
    <w:rsid w:val="00D458C6"/>
    <w:rsid w:val="00D55831"/>
    <w:rsid w:val="00D5786F"/>
    <w:rsid w:val="00D604FD"/>
    <w:rsid w:val="00D62620"/>
    <w:rsid w:val="00D64BD4"/>
    <w:rsid w:val="00D66A9F"/>
    <w:rsid w:val="00D678A2"/>
    <w:rsid w:val="00D726B6"/>
    <w:rsid w:val="00D75627"/>
    <w:rsid w:val="00D76094"/>
    <w:rsid w:val="00D76403"/>
    <w:rsid w:val="00D776D1"/>
    <w:rsid w:val="00D825E5"/>
    <w:rsid w:val="00D8549D"/>
    <w:rsid w:val="00D931F5"/>
    <w:rsid w:val="00D962CD"/>
    <w:rsid w:val="00DA1ECB"/>
    <w:rsid w:val="00DA3FD7"/>
    <w:rsid w:val="00DA5E57"/>
    <w:rsid w:val="00DA6D40"/>
    <w:rsid w:val="00DA6F7B"/>
    <w:rsid w:val="00DB110B"/>
    <w:rsid w:val="00DB358E"/>
    <w:rsid w:val="00DB5CD3"/>
    <w:rsid w:val="00DB6156"/>
    <w:rsid w:val="00DB6AF3"/>
    <w:rsid w:val="00DB7421"/>
    <w:rsid w:val="00DC0031"/>
    <w:rsid w:val="00DC1B4A"/>
    <w:rsid w:val="00DC2B6A"/>
    <w:rsid w:val="00DC3EB1"/>
    <w:rsid w:val="00DC795A"/>
    <w:rsid w:val="00DD3301"/>
    <w:rsid w:val="00DD733C"/>
    <w:rsid w:val="00DE20A7"/>
    <w:rsid w:val="00DE6CA9"/>
    <w:rsid w:val="00DE7334"/>
    <w:rsid w:val="00DF0D17"/>
    <w:rsid w:val="00DF55C0"/>
    <w:rsid w:val="00DF646A"/>
    <w:rsid w:val="00DF78CE"/>
    <w:rsid w:val="00E009AF"/>
    <w:rsid w:val="00E00AD5"/>
    <w:rsid w:val="00E0252B"/>
    <w:rsid w:val="00E10D61"/>
    <w:rsid w:val="00E11F65"/>
    <w:rsid w:val="00E12D2B"/>
    <w:rsid w:val="00E15B69"/>
    <w:rsid w:val="00E1629B"/>
    <w:rsid w:val="00E17DA0"/>
    <w:rsid w:val="00E2173E"/>
    <w:rsid w:val="00E21EF3"/>
    <w:rsid w:val="00E233F4"/>
    <w:rsid w:val="00E25780"/>
    <w:rsid w:val="00E25883"/>
    <w:rsid w:val="00E27192"/>
    <w:rsid w:val="00E312AC"/>
    <w:rsid w:val="00E31EA8"/>
    <w:rsid w:val="00E32B40"/>
    <w:rsid w:val="00E35921"/>
    <w:rsid w:val="00E372FB"/>
    <w:rsid w:val="00E41608"/>
    <w:rsid w:val="00E41F7A"/>
    <w:rsid w:val="00E43005"/>
    <w:rsid w:val="00E43985"/>
    <w:rsid w:val="00E45D48"/>
    <w:rsid w:val="00E4695F"/>
    <w:rsid w:val="00E47388"/>
    <w:rsid w:val="00E517A4"/>
    <w:rsid w:val="00E52522"/>
    <w:rsid w:val="00E52694"/>
    <w:rsid w:val="00E52E89"/>
    <w:rsid w:val="00E52FF6"/>
    <w:rsid w:val="00E533B3"/>
    <w:rsid w:val="00E6178D"/>
    <w:rsid w:val="00E627DE"/>
    <w:rsid w:val="00E669B9"/>
    <w:rsid w:val="00E72356"/>
    <w:rsid w:val="00E84E97"/>
    <w:rsid w:val="00E87B0D"/>
    <w:rsid w:val="00E90E55"/>
    <w:rsid w:val="00E91E11"/>
    <w:rsid w:val="00E91F85"/>
    <w:rsid w:val="00E92784"/>
    <w:rsid w:val="00E95D15"/>
    <w:rsid w:val="00E968EE"/>
    <w:rsid w:val="00EA0897"/>
    <w:rsid w:val="00EA515F"/>
    <w:rsid w:val="00EA708D"/>
    <w:rsid w:val="00EB2BA5"/>
    <w:rsid w:val="00EB3F04"/>
    <w:rsid w:val="00EB4D90"/>
    <w:rsid w:val="00EB716F"/>
    <w:rsid w:val="00EC15D8"/>
    <w:rsid w:val="00EC43E4"/>
    <w:rsid w:val="00EC5591"/>
    <w:rsid w:val="00EC6BCA"/>
    <w:rsid w:val="00EC75A9"/>
    <w:rsid w:val="00ED2E7F"/>
    <w:rsid w:val="00ED3BE8"/>
    <w:rsid w:val="00ED3E9F"/>
    <w:rsid w:val="00ED5657"/>
    <w:rsid w:val="00EE13B4"/>
    <w:rsid w:val="00EE1975"/>
    <w:rsid w:val="00EE1F07"/>
    <w:rsid w:val="00EE29A8"/>
    <w:rsid w:val="00EE3B2D"/>
    <w:rsid w:val="00EE3E4E"/>
    <w:rsid w:val="00EE3F7A"/>
    <w:rsid w:val="00EF0C88"/>
    <w:rsid w:val="00EF132B"/>
    <w:rsid w:val="00EF13BF"/>
    <w:rsid w:val="00EF2318"/>
    <w:rsid w:val="00EF76DB"/>
    <w:rsid w:val="00F024F3"/>
    <w:rsid w:val="00F063AD"/>
    <w:rsid w:val="00F06AD4"/>
    <w:rsid w:val="00F07219"/>
    <w:rsid w:val="00F1292F"/>
    <w:rsid w:val="00F1452E"/>
    <w:rsid w:val="00F14EE1"/>
    <w:rsid w:val="00F15524"/>
    <w:rsid w:val="00F159DB"/>
    <w:rsid w:val="00F15E31"/>
    <w:rsid w:val="00F160A9"/>
    <w:rsid w:val="00F16874"/>
    <w:rsid w:val="00F17BD6"/>
    <w:rsid w:val="00F20567"/>
    <w:rsid w:val="00F21E79"/>
    <w:rsid w:val="00F24B9B"/>
    <w:rsid w:val="00F261EA"/>
    <w:rsid w:val="00F273B7"/>
    <w:rsid w:val="00F31AEB"/>
    <w:rsid w:val="00F37092"/>
    <w:rsid w:val="00F4715A"/>
    <w:rsid w:val="00F5190E"/>
    <w:rsid w:val="00F52CF6"/>
    <w:rsid w:val="00F535E5"/>
    <w:rsid w:val="00F53E55"/>
    <w:rsid w:val="00F53F63"/>
    <w:rsid w:val="00F554A9"/>
    <w:rsid w:val="00F55767"/>
    <w:rsid w:val="00F55D64"/>
    <w:rsid w:val="00F5740C"/>
    <w:rsid w:val="00F62E9F"/>
    <w:rsid w:val="00F62EFB"/>
    <w:rsid w:val="00F639D9"/>
    <w:rsid w:val="00F64736"/>
    <w:rsid w:val="00F65119"/>
    <w:rsid w:val="00F65DB9"/>
    <w:rsid w:val="00F66752"/>
    <w:rsid w:val="00F72D0C"/>
    <w:rsid w:val="00F75999"/>
    <w:rsid w:val="00F80B69"/>
    <w:rsid w:val="00F80E3B"/>
    <w:rsid w:val="00F8181E"/>
    <w:rsid w:val="00F81A86"/>
    <w:rsid w:val="00F8407B"/>
    <w:rsid w:val="00F923FA"/>
    <w:rsid w:val="00F94553"/>
    <w:rsid w:val="00F94F01"/>
    <w:rsid w:val="00F9717B"/>
    <w:rsid w:val="00FA1582"/>
    <w:rsid w:val="00FA2853"/>
    <w:rsid w:val="00FA42D8"/>
    <w:rsid w:val="00FA45A8"/>
    <w:rsid w:val="00FA6B1C"/>
    <w:rsid w:val="00FB039D"/>
    <w:rsid w:val="00FB09E2"/>
    <w:rsid w:val="00FB12BD"/>
    <w:rsid w:val="00FB2143"/>
    <w:rsid w:val="00FB3977"/>
    <w:rsid w:val="00FB5CB2"/>
    <w:rsid w:val="00FB71D1"/>
    <w:rsid w:val="00FB723C"/>
    <w:rsid w:val="00FB76F8"/>
    <w:rsid w:val="00FC2E7F"/>
    <w:rsid w:val="00FC3909"/>
    <w:rsid w:val="00FD08D6"/>
    <w:rsid w:val="00FD11A9"/>
    <w:rsid w:val="00FD1407"/>
    <w:rsid w:val="00FD1EB4"/>
    <w:rsid w:val="00FD2092"/>
    <w:rsid w:val="00FE0D19"/>
    <w:rsid w:val="00FE0E3E"/>
    <w:rsid w:val="00FE1761"/>
    <w:rsid w:val="00FE19E3"/>
    <w:rsid w:val="00FE689B"/>
    <w:rsid w:val="00FE7BE7"/>
    <w:rsid w:val="00FF00CD"/>
    <w:rsid w:val="00FF13B3"/>
    <w:rsid w:val="00FF1BEB"/>
    <w:rsid w:val="00FF6BF1"/>
    <w:rsid w:val="00FF6C9C"/>
    <w:rsid w:val="03855C54"/>
    <w:rsid w:val="0420CE1A"/>
    <w:rsid w:val="04CD3BFB"/>
    <w:rsid w:val="0698970D"/>
    <w:rsid w:val="085022F4"/>
    <w:rsid w:val="0C067AF4"/>
    <w:rsid w:val="0CB26083"/>
    <w:rsid w:val="0CF3E5F2"/>
    <w:rsid w:val="0D0383FE"/>
    <w:rsid w:val="0DBB63A0"/>
    <w:rsid w:val="0E3D3FB1"/>
    <w:rsid w:val="0E8EA744"/>
    <w:rsid w:val="0EBEE736"/>
    <w:rsid w:val="0ED6A25E"/>
    <w:rsid w:val="0F6FBD1E"/>
    <w:rsid w:val="1023487B"/>
    <w:rsid w:val="107D99FC"/>
    <w:rsid w:val="1148A764"/>
    <w:rsid w:val="11B76963"/>
    <w:rsid w:val="136AFE77"/>
    <w:rsid w:val="1457A971"/>
    <w:rsid w:val="14873F94"/>
    <w:rsid w:val="15352826"/>
    <w:rsid w:val="153550B8"/>
    <w:rsid w:val="1560DDA0"/>
    <w:rsid w:val="15D17F9E"/>
    <w:rsid w:val="1666CADF"/>
    <w:rsid w:val="16EC0E17"/>
    <w:rsid w:val="18A191C9"/>
    <w:rsid w:val="194969A8"/>
    <w:rsid w:val="19927FB1"/>
    <w:rsid w:val="19E64BE9"/>
    <w:rsid w:val="19E79A2D"/>
    <w:rsid w:val="1B462FAB"/>
    <w:rsid w:val="1BBC2DEC"/>
    <w:rsid w:val="1C88FF40"/>
    <w:rsid w:val="1CA20CFA"/>
    <w:rsid w:val="1D371B37"/>
    <w:rsid w:val="1D4E9D83"/>
    <w:rsid w:val="1DA5728F"/>
    <w:rsid w:val="1E5999BD"/>
    <w:rsid w:val="1FD8AF20"/>
    <w:rsid w:val="2150849A"/>
    <w:rsid w:val="21A82652"/>
    <w:rsid w:val="225BDBD6"/>
    <w:rsid w:val="2298A081"/>
    <w:rsid w:val="24036B99"/>
    <w:rsid w:val="240F13E8"/>
    <w:rsid w:val="25C76F63"/>
    <w:rsid w:val="2610FADC"/>
    <w:rsid w:val="26408218"/>
    <w:rsid w:val="2854056D"/>
    <w:rsid w:val="2A398425"/>
    <w:rsid w:val="2C446E67"/>
    <w:rsid w:val="2CDE4C4C"/>
    <w:rsid w:val="2E330E01"/>
    <w:rsid w:val="2F1CE2AF"/>
    <w:rsid w:val="2F26B2CF"/>
    <w:rsid w:val="2F53910E"/>
    <w:rsid w:val="2F59D1AF"/>
    <w:rsid w:val="2F7C565E"/>
    <w:rsid w:val="2F85BC76"/>
    <w:rsid w:val="303FDE8F"/>
    <w:rsid w:val="31B5AED1"/>
    <w:rsid w:val="3267FB6D"/>
    <w:rsid w:val="32A42493"/>
    <w:rsid w:val="335EF846"/>
    <w:rsid w:val="3364B138"/>
    <w:rsid w:val="33A9AF14"/>
    <w:rsid w:val="33D00118"/>
    <w:rsid w:val="344C6865"/>
    <w:rsid w:val="34D6ACF6"/>
    <w:rsid w:val="35E9F48E"/>
    <w:rsid w:val="3741326B"/>
    <w:rsid w:val="37E7D535"/>
    <w:rsid w:val="380D9693"/>
    <w:rsid w:val="38A57F9D"/>
    <w:rsid w:val="391AC036"/>
    <w:rsid w:val="3AE08C71"/>
    <w:rsid w:val="3B4A0076"/>
    <w:rsid w:val="3C1E8149"/>
    <w:rsid w:val="3C401133"/>
    <w:rsid w:val="3C418715"/>
    <w:rsid w:val="3CED4483"/>
    <w:rsid w:val="3D06AD24"/>
    <w:rsid w:val="3D29C4EE"/>
    <w:rsid w:val="3D30FBFF"/>
    <w:rsid w:val="3DAD9CD6"/>
    <w:rsid w:val="3E566478"/>
    <w:rsid w:val="3F2994E7"/>
    <w:rsid w:val="3F83716A"/>
    <w:rsid w:val="40981CC7"/>
    <w:rsid w:val="411DA6D6"/>
    <w:rsid w:val="424465E2"/>
    <w:rsid w:val="42CF14DD"/>
    <w:rsid w:val="430B3D01"/>
    <w:rsid w:val="4330956D"/>
    <w:rsid w:val="453AE6DB"/>
    <w:rsid w:val="46F6D956"/>
    <w:rsid w:val="47EFF405"/>
    <w:rsid w:val="483DB22C"/>
    <w:rsid w:val="4841619F"/>
    <w:rsid w:val="4A426F32"/>
    <w:rsid w:val="4BAC6BD8"/>
    <w:rsid w:val="4D2B9346"/>
    <w:rsid w:val="4D364B39"/>
    <w:rsid w:val="4DB34418"/>
    <w:rsid w:val="4DEE1C3D"/>
    <w:rsid w:val="4ED3B85C"/>
    <w:rsid w:val="4F3A0C7D"/>
    <w:rsid w:val="51ACEC8A"/>
    <w:rsid w:val="51EC6591"/>
    <w:rsid w:val="52CB51E9"/>
    <w:rsid w:val="530B5E9A"/>
    <w:rsid w:val="53E0BC3B"/>
    <w:rsid w:val="54F4B339"/>
    <w:rsid w:val="55D602CA"/>
    <w:rsid w:val="55E54551"/>
    <w:rsid w:val="563DEDF9"/>
    <w:rsid w:val="577B0347"/>
    <w:rsid w:val="58DA0AAA"/>
    <w:rsid w:val="58E46DFB"/>
    <w:rsid w:val="592B9E88"/>
    <w:rsid w:val="5A19B0AE"/>
    <w:rsid w:val="5A1F54DF"/>
    <w:rsid w:val="5A929FDB"/>
    <w:rsid w:val="5AF61300"/>
    <w:rsid w:val="5BDE5867"/>
    <w:rsid w:val="5CA3BAFC"/>
    <w:rsid w:val="5D9EBCA9"/>
    <w:rsid w:val="5EF10775"/>
    <w:rsid w:val="5F53278B"/>
    <w:rsid w:val="600A7DB1"/>
    <w:rsid w:val="604319A4"/>
    <w:rsid w:val="611928E3"/>
    <w:rsid w:val="63273FA2"/>
    <w:rsid w:val="63DC5C5C"/>
    <w:rsid w:val="6429DAB4"/>
    <w:rsid w:val="64373A6C"/>
    <w:rsid w:val="6622092B"/>
    <w:rsid w:val="664E841F"/>
    <w:rsid w:val="669F5570"/>
    <w:rsid w:val="675966F8"/>
    <w:rsid w:val="67728C25"/>
    <w:rsid w:val="6803A460"/>
    <w:rsid w:val="680C6E5A"/>
    <w:rsid w:val="682F48AE"/>
    <w:rsid w:val="68707A11"/>
    <w:rsid w:val="68A875FE"/>
    <w:rsid w:val="68F7FCBF"/>
    <w:rsid w:val="69B3D408"/>
    <w:rsid w:val="69D7F394"/>
    <w:rsid w:val="6A393748"/>
    <w:rsid w:val="6AB46859"/>
    <w:rsid w:val="6AF81EDA"/>
    <w:rsid w:val="6C63878F"/>
    <w:rsid w:val="6C670268"/>
    <w:rsid w:val="6CDE2C52"/>
    <w:rsid w:val="6FA21D69"/>
    <w:rsid w:val="701268A9"/>
    <w:rsid w:val="71409F80"/>
    <w:rsid w:val="716E548B"/>
    <w:rsid w:val="717E8A11"/>
    <w:rsid w:val="71870412"/>
    <w:rsid w:val="719A2EBE"/>
    <w:rsid w:val="720CEA97"/>
    <w:rsid w:val="7245BE82"/>
    <w:rsid w:val="72C1C47F"/>
    <w:rsid w:val="73F294CF"/>
    <w:rsid w:val="73F500A8"/>
    <w:rsid w:val="748B05CC"/>
    <w:rsid w:val="75837E2F"/>
    <w:rsid w:val="766D3158"/>
    <w:rsid w:val="77118C47"/>
    <w:rsid w:val="783BE3E4"/>
    <w:rsid w:val="78FAE746"/>
    <w:rsid w:val="79CB5A99"/>
    <w:rsid w:val="7A19FA00"/>
    <w:rsid w:val="7B835B95"/>
    <w:rsid w:val="7C087228"/>
    <w:rsid w:val="7C4A9794"/>
    <w:rsid w:val="7CFE614E"/>
    <w:rsid w:val="7D28EAB1"/>
    <w:rsid w:val="7D40E5F4"/>
    <w:rsid w:val="7D76EE4A"/>
    <w:rsid w:val="7DA8E8E9"/>
    <w:rsid w:val="7E857589"/>
    <w:rsid w:val="7EA73A79"/>
    <w:rsid w:val="7EEA5CA3"/>
    <w:rsid w:val="7F9FF708"/>
    <w:rsid w:val="7FC5D7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0C26"/>
  <w15:chartTrackingRefBased/>
  <w15:docId w15:val="{597621B8-5739-4BE1-9FDD-FC761E82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0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0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0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0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0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0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0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0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0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0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209"/>
    <w:rPr>
      <w:rFonts w:eastAsiaTheme="majorEastAsia" w:cstheme="majorBidi"/>
      <w:color w:val="272727" w:themeColor="text1" w:themeTint="D8"/>
    </w:rPr>
  </w:style>
  <w:style w:type="paragraph" w:styleId="Title">
    <w:name w:val="Title"/>
    <w:basedOn w:val="Normal"/>
    <w:next w:val="Normal"/>
    <w:link w:val="TitleChar"/>
    <w:uiPriority w:val="10"/>
    <w:qFormat/>
    <w:rsid w:val="00660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209"/>
    <w:pPr>
      <w:spacing w:before="160"/>
      <w:jc w:val="center"/>
    </w:pPr>
    <w:rPr>
      <w:i/>
      <w:iCs/>
      <w:color w:val="404040" w:themeColor="text1" w:themeTint="BF"/>
    </w:rPr>
  </w:style>
  <w:style w:type="character" w:customStyle="1" w:styleId="QuoteChar">
    <w:name w:val="Quote Char"/>
    <w:basedOn w:val="DefaultParagraphFont"/>
    <w:link w:val="Quote"/>
    <w:uiPriority w:val="29"/>
    <w:rsid w:val="00660209"/>
    <w:rPr>
      <w:i/>
      <w:iCs/>
      <w:color w:val="404040" w:themeColor="text1" w:themeTint="BF"/>
    </w:rPr>
  </w:style>
  <w:style w:type="paragraph" w:styleId="ListParagraph">
    <w:name w:val="List Paragraph"/>
    <w:basedOn w:val="Normal"/>
    <w:uiPriority w:val="34"/>
    <w:qFormat/>
    <w:rsid w:val="00660209"/>
    <w:pPr>
      <w:ind w:left="720"/>
      <w:contextualSpacing/>
    </w:pPr>
  </w:style>
  <w:style w:type="character" w:styleId="IntenseEmphasis">
    <w:name w:val="Intense Emphasis"/>
    <w:basedOn w:val="DefaultParagraphFont"/>
    <w:uiPriority w:val="21"/>
    <w:qFormat/>
    <w:rsid w:val="00660209"/>
    <w:rPr>
      <w:i/>
      <w:iCs/>
      <w:color w:val="0F4761" w:themeColor="accent1" w:themeShade="BF"/>
    </w:rPr>
  </w:style>
  <w:style w:type="paragraph" w:styleId="IntenseQuote">
    <w:name w:val="Intense Quote"/>
    <w:basedOn w:val="Normal"/>
    <w:next w:val="Normal"/>
    <w:link w:val="IntenseQuoteChar"/>
    <w:uiPriority w:val="30"/>
    <w:qFormat/>
    <w:rsid w:val="00660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0209"/>
    <w:rPr>
      <w:i/>
      <w:iCs/>
      <w:color w:val="0F4761" w:themeColor="accent1" w:themeShade="BF"/>
    </w:rPr>
  </w:style>
  <w:style w:type="character" w:styleId="IntenseReference">
    <w:name w:val="Intense Reference"/>
    <w:basedOn w:val="DefaultParagraphFont"/>
    <w:uiPriority w:val="32"/>
    <w:qFormat/>
    <w:rsid w:val="00660209"/>
    <w:rPr>
      <w:b/>
      <w:bCs/>
      <w:smallCaps/>
      <w:color w:val="0F4761" w:themeColor="accent1" w:themeShade="BF"/>
      <w:spacing w:val="5"/>
    </w:rPr>
  </w:style>
  <w:style w:type="paragraph" w:styleId="Header">
    <w:name w:val="header"/>
    <w:basedOn w:val="Normal"/>
    <w:link w:val="HeaderChar"/>
    <w:uiPriority w:val="99"/>
    <w:unhideWhenUsed/>
    <w:rsid w:val="00284D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D96"/>
  </w:style>
  <w:style w:type="paragraph" w:styleId="Footer">
    <w:name w:val="footer"/>
    <w:basedOn w:val="Normal"/>
    <w:link w:val="FooterChar"/>
    <w:uiPriority w:val="99"/>
    <w:unhideWhenUsed/>
    <w:rsid w:val="00284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D96"/>
  </w:style>
  <w:style w:type="character" w:styleId="Hyperlink">
    <w:name w:val="Hyperlink"/>
    <w:basedOn w:val="DefaultParagraphFont"/>
    <w:uiPriority w:val="99"/>
    <w:unhideWhenUsed/>
    <w:rsid w:val="00F64736"/>
    <w:rPr>
      <w:color w:val="467886" w:themeColor="hyperlink"/>
      <w:u w:val="single"/>
    </w:rPr>
  </w:style>
  <w:style w:type="character" w:styleId="UnresolvedMention">
    <w:name w:val="Unresolved Mention"/>
    <w:basedOn w:val="DefaultParagraphFont"/>
    <w:uiPriority w:val="99"/>
    <w:semiHidden/>
    <w:unhideWhenUsed/>
    <w:rsid w:val="00F64736"/>
    <w:rPr>
      <w:color w:val="605E5C"/>
      <w:shd w:val="clear" w:color="auto" w:fill="E1DFDD"/>
    </w:rPr>
  </w:style>
  <w:style w:type="paragraph" w:styleId="Revision">
    <w:name w:val="Revision"/>
    <w:hidden/>
    <w:uiPriority w:val="99"/>
    <w:semiHidden/>
    <w:rsid w:val="00572378"/>
    <w:pPr>
      <w:spacing w:after="0" w:line="240" w:lineRule="auto"/>
    </w:pPr>
  </w:style>
  <w:style w:type="character" w:styleId="CommentReference">
    <w:name w:val="annotation reference"/>
    <w:basedOn w:val="DefaultParagraphFont"/>
    <w:uiPriority w:val="99"/>
    <w:semiHidden/>
    <w:unhideWhenUsed/>
    <w:rsid w:val="00572378"/>
    <w:rPr>
      <w:sz w:val="16"/>
      <w:szCs w:val="16"/>
    </w:rPr>
  </w:style>
  <w:style w:type="paragraph" w:styleId="CommentText">
    <w:name w:val="annotation text"/>
    <w:basedOn w:val="Normal"/>
    <w:link w:val="CommentTextChar"/>
    <w:uiPriority w:val="99"/>
    <w:unhideWhenUsed/>
    <w:rsid w:val="00572378"/>
    <w:pPr>
      <w:spacing w:line="240" w:lineRule="auto"/>
    </w:pPr>
    <w:rPr>
      <w:sz w:val="20"/>
      <w:szCs w:val="20"/>
    </w:rPr>
  </w:style>
  <w:style w:type="character" w:customStyle="1" w:styleId="CommentTextChar">
    <w:name w:val="Comment Text Char"/>
    <w:basedOn w:val="DefaultParagraphFont"/>
    <w:link w:val="CommentText"/>
    <w:uiPriority w:val="99"/>
    <w:rsid w:val="00572378"/>
    <w:rPr>
      <w:sz w:val="20"/>
      <w:szCs w:val="20"/>
    </w:rPr>
  </w:style>
  <w:style w:type="paragraph" w:styleId="CommentSubject">
    <w:name w:val="annotation subject"/>
    <w:basedOn w:val="CommentText"/>
    <w:next w:val="CommentText"/>
    <w:link w:val="CommentSubjectChar"/>
    <w:uiPriority w:val="99"/>
    <w:semiHidden/>
    <w:unhideWhenUsed/>
    <w:rsid w:val="00572378"/>
    <w:rPr>
      <w:b/>
      <w:bCs/>
    </w:rPr>
  </w:style>
  <w:style w:type="character" w:customStyle="1" w:styleId="CommentSubjectChar">
    <w:name w:val="Comment Subject Char"/>
    <w:basedOn w:val="CommentTextChar"/>
    <w:link w:val="CommentSubject"/>
    <w:uiPriority w:val="99"/>
    <w:semiHidden/>
    <w:rsid w:val="005723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pa-group.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pa-group.ro/ro/r/publications/newsletter-subscrip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6503842F0F44CA4530B306D585C87" ma:contentTypeVersion="19" ma:contentTypeDescription="Create a new document." ma:contentTypeScope="" ma:versionID="f7ce9122593b97324584f66afc456bba">
  <xsd:schema xmlns:xsd="http://www.w3.org/2001/XMLSchema" xmlns:xs="http://www.w3.org/2001/XMLSchema" xmlns:p="http://schemas.microsoft.com/office/2006/metadata/properties" xmlns:ns2="8b10f5ff-a807-4332-9197-2c4399720451" xmlns:ns3="262ed8ec-f177-4917-9f70-d8664a630528" targetNamespace="http://schemas.microsoft.com/office/2006/metadata/properties" ma:root="true" ma:fieldsID="4eb98ce78762f7efecc0733a94a8a2d9" ns2:_="" ns3:_="">
    <xsd:import namespace="8b10f5ff-a807-4332-9197-2c4399720451"/>
    <xsd:import namespace="262ed8ec-f177-4917-9f70-d8664a6305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0f5ff-a807-4332-9197-2c43997204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cd476d7-685a-49e5-bf9c-aa9c57423b77}" ma:internalName="TaxCatchAll" ma:showField="CatchAllData" ma:web="8b10f5ff-a807-4332-9197-2c43997204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2ed8ec-f177-4917-9f70-d8664a6305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dc6842-2eec-463e-9001-84cb9032c9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10f5ff-a807-4332-9197-2c4399720451" xsi:nil="true"/>
    <lcf76f155ced4ddcb4097134ff3c332f xmlns="262ed8ec-f177-4917-9f70-d8664a6305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B9752-F5B9-4A53-91E0-26F9E2DB0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0f5ff-a807-4332-9197-2c4399720451"/>
    <ds:schemaRef ds:uri="262ed8ec-f177-4917-9f70-d8664a630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091C6-FEA6-403C-82EE-EABC79F9D175}">
  <ds:schemaRefs>
    <ds:schemaRef ds:uri="http://schemas.microsoft.com/office/2006/metadata/properties"/>
    <ds:schemaRef ds:uri="http://schemas.microsoft.com/office/infopath/2007/PartnerControls"/>
    <ds:schemaRef ds:uri="8b10f5ff-a807-4332-9197-2c4399720451"/>
    <ds:schemaRef ds:uri="262ed8ec-f177-4917-9f70-d8664a630528"/>
  </ds:schemaRefs>
</ds:datastoreItem>
</file>

<file path=customXml/itemProps3.xml><?xml version="1.0" encoding="utf-8"?>
<ds:datastoreItem xmlns:ds="http://schemas.openxmlformats.org/officeDocument/2006/customXml" ds:itemID="{A63C2DF7-F568-4DA1-8AA1-F3CEF7FCD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2441</Words>
  <Characters>13917</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TPA (AF)</dc:creator>
  <cp:keywords/>
  <dc:description/>
  <cp:lastModifiedBy>Mihaela Vladescu</cp:lastModifiedBy>
  <cp:revision>2</cp:revision>
  <cp:lastPrinted>2025-12-18T21:03:00Z</cp:lastPrinted>
  <dcterms:created xsi:type="dcterms:W3CDTF">2026-07-10T09:08:00Z</dcterms:created>
  <dcterms:modified xsi:type="dcterms:W3CDTF">2026-07-10T09:08:00Z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0x0101000356503842F0F44CA4530B306D585C87</vt:lpwstr>
  </property>
  <property fmtid="{D5CDD505-2E9C-101B-9397-08002B2CF9AE}" pid="3" name="MediaServiceImageTags">
    <vt:lpwstr/>
  </property>
  <property fmtid="{D5CDD505-2E9C-101B-9397-08002B2CF9AE}" pid="4" name="docLang">
    <vt:lpwstr>ro</vt:lpwstr>
  </property>
</Properties>
</file>